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71DE3" w14:textId="21758F5C" w:rsidR="00D83B75" w:rsidRDefault="00994F2C" w:rsidP="00943378">
      <w:pPr>
        <w:rPr>
          <w:sz w:val="4"/>
          <w:szCs w:val="4"/>
        </w:rPr>
      </w:pPr>
      <w:r>
        <w:rPr>
          <w:sz w:val="4"/>
          <w:szCs w:val="4"/>
        </w:rPr>
        <w:t xml:space="preserve"> </w:t>
      </w:r>
    </w:p>
    <w:p w14:paraId="570574C4" w14:textId="77777777" w:rsidR="00D83B75" w:rsidRPr="00C769E0" w:rsidRDefault="00D83B75" w:rsidP="00943378">
      <w:pPr>
        <w:rPr>
          <w:sz w:val="4"/>
          <w:szCs w:val="4"/>
        </w:rPr>
      </w:pPr>
    </w:p>
    <w:tbl>
      <w:tblPr>
        <w:tblW w:w="14385" w:type="dxa"/>
        <w:tblLayout w:type="fixed"/>
        <w:tblLook w:val="04A0" w:firstRow="1" w:lastRow="0" w:firstColumn="1" w:lastColumn="0" w:noHBand="0" w:noVBand="1"/>
      </w:tblPr>
      <w:tblGrid>
        <w:gridCol w:w="5129"/>
        <w:gridCol w:w="1322"/>
        <w:gridCol w:w="1322"/>
        <w:gridCol w:w="1322"/>
        <w:gridCol w:w="1323"/>
        <w:gridCol w:w="1322"/>
        <w:gridCol w:w="1322"/>
        <w:gridCol w:w="1323"/>
      </w:tblGrid>
      <w:tr w:rsidR="00C944F7" w:rsidRPr="00F247E1" w14:paraId="1C463066" w14:textId="77777777" w:rsidTr="2B4841DE">
        <w:trPr>
          <w:trHeight w:val="455"/>
        </w:trPr>
        <w:tc>
          <w:tcPr>
            <w:tcW w:w="14385" w:type="dxa"/>
            <w:gridSpan w:val="8"/>
            <w:tcBorders>
              <w:top w:val="single" w:sz="4" w:space="0" w:color="0C1940"/>
              <w:left w:val="single" w:sz="4" w:space="0" w:color="0C1940"/>
              <w:bottom w:val="single" w:sz="4" w:space="0" w:color="0C1940"/>
              <w:right w:val="single" w:sz="4" w:space="0" w:color="0C1940"/>
            </w:tcBorders>
            <w:shd w:val="clear" w:color="auto" w:fill="0C1840"/>
            <w:noWrap/>
            <w:vAlign w:val="center"/>
            <w:hideMark/>
          </w:tcPr>
          <w:p w14:paraId="7650FEA6" w14:textId="138EDD26" w:rsidR="00C944F7" w:rsidRPr="00C944F7" w:rsidRDefault="00C944F7" w:rsidP="00691F97">
            <w:pPr>
              <w:rPr>
                <w:rFonts w:ascii="Open Sans" w:hAnsi="Open Sans" w:cs="Open Sans"/>
                <w:b/>
                <w:bCs/>
                <w:color w:val="4892AC"/>
                <w:sz w:val="28"/>
                <w:szCs w:val="28"/>
              </w:rPr>
            </w:pPr>
            <w:r w:rsidRPr="00596AD1">
              <w:rPr>
                <w:rFonts w:ascii="Open Sans" w:hAnsi="Open Sans" w:cs="Open Sans"/>
                <w:b/>
                <w:bCs/>
                <w:color w:val="459BBC"/>
                <w:sz w:val="28"/>
                <w:szCs w:val="28"/>
              </w:rPr>
              <w:t>ASSET CLASS RETURNS</w:t>
            </w:r>
          </w:p>
        </w:tc>
      </w:tr>
      <w:tr w:rsidR="005B3966" w:rsidRPr="00F247E1" w14:paraId="7C6AE99C" w14:textId="77777777" w:rsidTr="2B4841DE">
        <w:trPr>
          <w:trHeight w:val="454"/>
        </w:trPr>
        <w:tc>
          <w:tcPr>
            <w:tcW w:w="5129"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4BBB89E7" w14:textId="1EC214B6" w:rsidR="00F247E1" w:rsidRPr="00DE0698" w:rsidRDefault="00F247E1" w:rsidP="00486590">
            <w:pP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Asset Class</w:t>
            </w:r>
          </w:p>
        </w:tc>
        <w:tc>
          <w:tcPr>
            <w:tcW w:w="1322"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74A63C61"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Ticker</w:t>
            </w:r>
          </w:p>
        </w:tc>
        <w:tc>
          <w:tcPr>
            <w:tcW w:w="1322"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286750CC"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1M</w:t>
            </w:r>
          </w:p>
        </w:tc>
        <w:tc>
          <w:tcPr>
            <w:tcW w:w="1322"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1E9369D1"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3M</w:t>
            </w:r>
          </w:p>
        </w:tc>
        <w:tc>
          <w:tcPr>
            <w:tcW w:w="1323"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184F4A40"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12M</w:t>
            </w:r>
          </w:p>
        </w:tc>
        <w:tc>
          <w:tcPr>
            <w:tcW w:w="1322"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34E02C21"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3Y</w:t>
            </w:r>
          </w:p>
        </w:tc>
        <w:tc>
          <w:tcPr>
            <w:tcW w:w="1322"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1709AE48"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5Y</w:t>
            </w:r>
          </w:p>
        </w:tc>
        <w:tc>
          <w:tcPr>
            <w:tcW w:w="1323" w:type="dxa"/>
            <w:tcBorders>
              <w:top w:val="single" w:sz="4" w:space="0" w:color="0C1940"/>
              <w:left w:val="single" w:sz="4" w:space="0" w:color="459BBC"/>
              <w:bottom w:val="single" w:sz="4" w:space="0" w:color="459BBC"/>
              <w:right w:val="single" w:sz="4" w:space="0" w:color="459BBC"/>
            </w:tcBorders>
            <w:shd w:val="clear" w:color="auto" w:fill="459BBC"/>
            <w:noWrap/>
            <w:vAlign w:val="center"/>
            <w:hideMark/>
          </w:tcPr>
          <w:p w14:paraId="696FADC9" w14:textId="77777777" w:rsidR="00F247E1" w:rsidRPr="00DE0698" w:rsidRDefault="00F247E1" w:rsidP="00486590">
            <w:pPr>
              <w:jc w:val="center"/>
              <w:rPr>
                <w:rFonts w:ascii="Open Sans SemiBold" w:hAnsi="Open Sans SemiBold" w:cs="Open Sans SemiBold"/>
                <w:b/>
                <w:bCs/>
                <w:color w:val="FFFFFF" w:themeColor="background1"/>
              </w:rPr>
            </w:pPr>
            <w:r w:rsidRPr="00DE0698">
              <w:rPr>
                <w:rFonts w:ascii="Open Sans SemiBold" w:hAnsi="Open Sans SemiBold" w:cs="Open Sans SemiBold"/>
                <w:b/>
                <w:bCs/>
                <w:color w:val="FFFFFF" w:themeColor="background1"/>
              </w:rPr>
              <w:t>10Y</w:t>
            </w:r>
          </w:p>
        </w:tc>
      </w:tr>
      <w:tr w:rsidR="004C5D30" w:rsidRPr="00F247E1" w14:paraId="72914CB9"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2C90ED99" w14:textId="1BFA98E3"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Large Cap Equities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4EF7DE06" w14:textId="4DBF918A"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SPY</w:t>
            </w:r>
          </w:p>
        </w:tc>
        <w:tc>
          <w:tcPr>
            <w:tcW w:w="1322" w:type="dxa"/>
            <w:tcBorders>
              <w:top w:val="single" w:sz="4" w:space="0" w:color="459BBC"/>
              <w:left w:val="dotDotDash" w:sz="4" w:space="0" w:color="459BBC"/>
              <w:bottom w:val="single" w:sz="4" w:space="0" w:color="459BBC"/>
            </w:tcBorders>
            <w:noWrap/>
            <w:vAlign w:val="center"/>
            <w:hideMark/>
          </w:tcPr>
          <w:p w14:paraId="160D650C" w14:textId="4ABB5FA4"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2.38%</w:t>
            </w:r>
          </w:p>
        </w:tc>
        <w:tc>
          <w:tcPr>
            <w:tcW w:w="1322" w:type="dxa"/>
            <w:tcBorders>
              <w:top w:val="single" w:sz="4" w:space="0" w:color="459BBC"/>
              <w:bottom w:val="single" w:sz="4" w:space="0" w:color="459BBC"/>
            </w:tcBorders>
            <w:noWrap/>
            <w:vAlign w:val="center"/>
            <w:hideMark/>
          </w:tcPr>
          <w:p w14:paraId="1AEA412C" w14:textId="1150F0F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8.21%</w:t>
            </w:r>
          </w:p>
        </w:tc>
        <w:tc>
          <w:tcPr>
            <w:tcW w:w="1323" w:type="dxa"/>
            <w:tcBorders>
              <w:top w:val="single" w:sz="4" w:space="0" w:color="459BBC"/>
              <w:bottom w:val="single" w:sz="4" w:space="0" w:color="459BBC"/>
            </w:tcBorders>
            <w:noWrap/>
            <w:vAlign w:val="center"/>
            <w:hideMark/>
          </w:tcPr>
          <w:p w14:paraId="27D2F739" w14:textId="693829A3"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21.40%</w:t>
            </w:r>
          </w:p>
        </w:tc>
        <w:tc>
          <w:tcPr>
            <w:tcW w:w="1322" w:type="dxa"/>
            <w:tcBorders>
              <w:top w:val="single" w:sz="4" w:space="0" w:color="459BBC"/>
              <w:bottom w:val="single" w:sz="4" w:space="0" w:color="459BBC"/>
            </w:tcBorders>
            <w:noWrap/>
            <w:vAlign w:val="center"/>
            <w:hideMark/>
          </w:tcPr>
          <w:p w14:paraId="63630F0F" w14:textId="2AA2351F"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22.54%</w:t>
            </w:r>
          </w:p>
        </w:tc>
        <w:tc>
          <w:tcPr>
            <w:tcW w:w="1322" w:type="dxa"/>
            <w:tcBorders>
              <w:top w:val="single" w:sz="4" w:space="0" w:color="459BBC"/>
              <w:bottom w:val="single" w:sz="4" w:space="0" w:color="459BBC"/>
            </w:tcBorders>
            <w:noWrap/>
            <w:vAlign w:val="center"/>
            <w:hideMark/>
          </w:tcPr>
          <w:p w14:paraId="6A45ABFB" w14:textId="2BDCB71C"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17.51%</w:t>
            </w:r>
          </w:p>
        </w:tc>
        <w:tc>
          <w:tcPr>
            <w:tcW w:w="1323" w:type="dxa"/>
            <w:tcBorders>
              <w:top w:val="single" w:sz="4" w:space="0" w:color="459BBC"/>
              <w:bottom w:val="single" w:sz="4" w:space="0" w:color="459BBC"/>
              <w:right w:val="single" w:sz="4" w:space="0" w:color="459BBC"/>
            </w:tcBorders>
            <w:noWrap/>
            <w:vAlign w:val="center"/>
            <w:hideMark/>
          </w:tcPr>
          <w:p w14:paraId="0DE3ADDA" w14:textId="4D6986A3"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14.53%</w:t>
            </w:r>
          </w:p>
        </w:tc>
      </w:tr>
      <w:tr w:rsidR="004C5D30" w:rsidRPr="00F247E1" w14:paraId="019847FE"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4B394ED1" w14:textId="185907E2"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Large Cap Equities (C$)</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70917A45" w14:textId="75D0497F"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XUS.TO</w:t>
            </w:r>
          </w:p>
        </w:tc>
        <w:tc>
          <w:tcPr>
            <w:tcW w:w="1322" w:type="dxa"/>
            <w:tcBorders>
              <w:top w:val="single" w:sz="4" w:space="0" w:color="459BBC"/>
              <w:left w:val="dotDotDash" w:sz="4" w:space="0" w:color="459BBC"/>
              <w:bottom w:val="single" w:sz="4" w:space="0" w:color="459BBC"/>
            </w:tcBorders>
            <w:noWrap/>
            <w:vAlign w:val="center"/>
            <w:hideMark/>
          </w:tcPr>
          <w:p w14:paraId="180C9ACF" w14:textId="645EF06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3.09%</w:t>
            </w:r>
          </w:p>
        </w:tc>
        <w:tc>
          <w:tcPr>
            <w:tcW w:w="1322" w:type="dxa"/>
            <w:tcBorders>
              <w:top w:val="single" w:sz="4" w:space="0" w:color="459BBC"/>
              <w:bottom w:val="single" w:sz="4" w:space="0" w:color="459BBC"/>
            </w:tcBorders>
            <w:noWrap/>
            <w:vAlign w:val="center"/>
            <w:hideMark/>
          </w:tcPr>
          <w:p w14:paraId="369BC6D9" w14:textId="2939B3C7"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9.64%</w:t>
            </w:r>
          </w:p>
        </w:tc>
        <w:tc>
          <w:tcPr>
            <w:tcW w:w="1323" w:type="dxa"/>
            <w:tcBorders>
              <w:top w:val="single" w:sz="4" w:space="0" w:color="459BBC"/>
              <w:bottom w:val="single" w:sz="4" w:space="0" w:color="459BBC"/>
            </w:tcBorders>
            <w:noWrap/>
            <w:vAlign w:val="center"/>
            <w:hideMark/>
          </w:tcPr>
          <w:p w14:paraId="11284FE5" w14:textId="25B2A5A6"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21.75%</w:t>
            </w:r>
          </w:p>
        </w:tc>
        <w:tc>
          <w:tcPr>
            <w:tcW w:w="1322" w:type="dxa"/>
            <w:tcBorders>
              <w:top w:val="single" w:sz="4" w:space="0" w:color="459BBC"/>
              <w:bottom w:val="single" w:sz="4" w:space="0" w:color="459BBC"/>
            </w:tcBorders>
            <w:noWrap/>
            <w:vAlign w:val="center"/>
            <w:hideMark/>
          </w:tcPr>
          <w:p w14:paraId="528DCE98" w14:textId="5189884D"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23.40%</w:t>
            </w:r>
          </w:p>
        </w:tc>
        <w:tc>
          <w:tcPr>
            <w:tcW w:w="1322" w:type="dxa"/>
            <w:tcBorders>
              <w:top w:val="single" w:sz="4" w:space="0" w:color="459BBC"/>
              <w:bottom w:val="single" w:sz="4" w:space="0" w:color="459BBC"/>
            </w:tcBorders>
            <w:noWrap/>
            <w:vAlign w:val="center"/>
            <w:hideMark/>
          </w:tcPr>
          <w:p w14:paraId="253B8539" w14:textId="243ED840"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18.44%</w:t>
            </w:r>
          </w:p>
        </w:tc>
        <w:tc>
          <w:tcPr>
            <w:tcW w:w="1323" w:type="dxa"/>
            <w:tcBorders>
              <w:top w:val="single" w:sz="4" w:space="0" w:color="459BBC"/>
              <w:bottom w:val="single" w:sz="4" w:space="0" w:color="459BBC"/>
              <w:right w:val="single" w:sz="4" w:space="0" w:color="459BBC"/>
            </w:tcBorders>
            <w:noWrap/>
            <w:vAlign w:val="center"/>
            <w:hideMark/>
          </w:tcPr>
          <w:p w14:paraId="777293AD" w14:textId="19FAE6C5" w:rsidR="004C5D30" w:rsidRPr="004C5D30" w:rsidRDefault="004C5D30" w:rsidP="004C5D30">
            <w:pPr>
              <w:spacing w:line="259" w:lineRule="auto"/>
              <w:jc w:val="center"/>
              <w:rPr>
                <w:rFonts w:ascii="Open Sans" w:hAnsi="Open Sans" w:cs="Open Sans"/>
                <w:color w:val="000000" w:themeColor="text1"/>
                <w:sz w:val="20"/>
                <w:szCs w:val="20"/>
              </w:rPr>
            </w:pPr>
            <w:r w:rsidRPr="004C5D30">
              <w:rPr>
                <w:rFonts w:ascii="Open Sans" w:hAnsi="Open Sans" w:cs="Open Sans"/>
                <w:color w:val="000000"/>
                <w:sz w:val="20"/>
                <w:szCs w:val="20"/>
              </w:rPr>
              <w:t>15.01%</w:t>
            </w:r>
          </w:p>
        </w:tc>
      </w:tr>
      <w:tr w:rsidR="004C5D30" w:rsidRPr="00F247E1" w14:paraId="259B21B6"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4A0E7D5E" w14:textId="1238C882"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Small Cap Equities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28EC4B6E" w14:textId="3202E55F"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IWM</w:t>
            </w:r>
          </w:p>
        </w:tc>
        <w:tc>
          <w:tcPr>
            <w:tcW w:w="1322" w:type="dxa"/>
            <w:tcBorders>
              <w:top w:val="single" w:sz="4" w:space="0" w:color="459BBC"/>
              <w:left w:val="dotDotDash" w:sz="4" w:space="0" w:color="459BBC"/>
              <w:bottom w:val="single" w:sz="4" w:space="0" w:color="459BBC"/>
            </w:tcBorders>
            <w:noWrap/>
            <w:vAlign w:val="center"/>
            <w:hideMark/>
          </w:tcPr>
          <w:p w14:paraId="0C167675" w14:textId="4973CD0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1.76%</w:t>
            </w:r>
          </w:p>
        </w:tc>
        <w:tc>
          <w:tcPr>
            <w:tcW w:w="1322" w:type="dxa"/>
            <w:tcBorders>
              <w:top w:val="single" w:sz="4" w:space="0" w:color="459BBC"/>
              <w:bottom w:val="single" w:sz="4" w:space="0" w:color="459BBC"/>
            </w:tcBorders>
            <w:noWrap/>
            <w:vAlign w:val="center"/>
            <w:hideMark/>
          </w:tcPr>
          <w:p w14:paraId="54CB2285" w14:textId="7A8DB85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12.55%</w:t>
            </w:r>
          </w:p>
        </w:tc>
        <w:tc>
          <w:tcPr>
            <w:tcW w:w="1323" w:type="dxa"/>
            <w:tcBorders>
              <w:top w:val="single" w:sz="4" w:space="0" w:color="459BBC"/>
              <w:bottom w:val="single" w:sz="4" w:space="0" w:color="459BBC"/>
            </w:tcBorders>
            <w:noWrap/>
            <w:vAlign w:val="center"/>
            <w:hideMark/>
          </w:tcPr>
          <w:p w14:paraId="0FF8351E" w14:textId="29E50AC4"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14.30%</w:t>
            </w:r>
          </w:p>
        </w:tc>
        <w:tc>
          <w:tcPr>
            <w:tcW w:w="1322" w:type="dxa"/>
            <w:tcBorders>
              <w:top w:val="single" w:sz="4" w:space="0" w:color="459BBC"/>
              <w:bottom w:val="single" w:sz="4" w:space="0" w:color="459BBC"/>
            </w:tcBorders>
            <w:noWrap/>
            <w:vAlign w:val="center"/>
            <w:hideMark/>
          </w:tcPr>
          <w:p w14:paraId="401A697C" w14:textId="52DAC71C"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11.77%</w:t>
            </w:r>
          </w:p>
        </w:tc>
        <w:tc>
          <w:tcPr>
            <w:tcW w:w="1322" w:type="dxa"/>
            <w:tcBorders>
              <w:top w:val="single" w:sz="4" w:space="0" w:color="459BBC"/>
              <w:bottom w:val="single" w:sz="4" w:space="0" w:color="459BBC"/>
            </w:tcBorders>
            <w:noWrap/>
            <w:vAlign w:val="center"/>
            <w:hideMark/>
          </w:tcPr>
          <w:p w14:paraId="504D8C9E" w14:textId="2E15691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11.33%</w:t>
            </w:r>
          </w:p>
        </w:tc>
        <w:tc>
          <w:tcPr>
            <w:tcW w:w="1323" w:type="dxa"/>
            <w:tcBorders>
              <w:top w:val="single" w:sz="4" w:space="0" w:color="459BBC"/>
              <w:bottom w:val="single" w:sz="4" w:space="0" w:color="459BBC"/>
              <w:right w:val="single" w:sz="4" w:space="0" w:color="459BBC"/>
            </w:tcBorders>
            <w:noWrap/>
            <w:vAlign w:val="center"/>
            <w:hideMark/>
          </w:tcPr>
          <w:p w14:paraId="4A1869AE" w14:textId="066CA099"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9.30%</w:t>
            </w:r>
          </w:p>
        </w:tc>
      </w:tr>
      <w:tr w:rsidR="004C5D30" w:rsidRPr="00F247E1" w14:paraId="194ECC63"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4B69135D" w14:textId="5FC04782"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Canadian Equities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1918C53B" w14:textId="5E47B86A"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XIC.TO</w:t>
            </w:r>
          </w:p>
        </w:tc>
        <w:tc>
          <w:tcPr>
            <w:tcW w:w="1322" w:type="dxa"/>
            <w:tcBorders>
              <w:top w:val="single" w:sz="4" w:space="0" w:color="459BBC"/>
              <w:left w:val="dotDotDash" w:sz="4" w:space="0" w:color="459BBC"/>
              <w:bottom w:val="single" w:sz="4" w:space="0" w:color="459BBC"/>
            </w:tcBorders>
            <w:noWrap/>
            <w:vAlign w:val="center"/>
            <w:hideMark/>
          </w:tcPr>
          <w:p w14:paraId="6653383B" w14:textId="1059C4E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0.96%</w:t>
            </w:r>
          </w:p>
        </w:tc>
        <w:tc>
          <w:tcPr>
            <w:tcW w:w="1322" w:type="dxa"/>
            <w:tcBorders>
              <w:top w:val="single" w:sz="4" w:space="0" w:color="459BBC"/>
              <w:bottom w:val="single" w:sz="4" w:space="0" w:color="459BBC"/>
            </w:tcBorders>
            <w:noWrap/>
            <w:vAlign w:val="center"/>
            <w:hideMark/>
          </w:tcPr>
          <w:p w14:paraId="21A11A6F" w14:textId="5EE2C78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11.67%</w:t>
            </w:r>
          </w:p>
        </w:tc>
        <w:tc>
          <w:tcPr>
            <w:tcW w:w="1323" w:type="dxa"/>
            <w:tcBorders>
              <w:top w:val="single" w:sz="4" w:space="0" w:color="459BBC"/>
              <w:bottom w:val="single" w:sz="4" w:space="0" w:color="459BBC"/>
            </w:tcBorders>
            <w:noWrap/>
            <w:vAlign w:val="center"/>
            <w:hideMark/>
          </w:tcPr>
          <w:p w14:paraId="3C7FD67D" w14:textId="3D0D4D13"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28.68%</w:t>
            </w:r>
          </w:p>
        </w:tc>
        <w:tc>
          <w:tcPr>
            <w:tcW w:w="1322" w:type="dxa"/>
            <w:tcBorders>
              <w:top w:val="single" w:sz="4" w:space="0" w:color="459BBC"/>
              <w:bottom w:val="single" w:sz="4" w:space="0" w:color="459BBC"/>
            </w:tcBorders>
            <w:noWrap/>
            <w:vAlign w:val="center"/>
            <w:hideMark/>
          </w:tcPr>
          <w:p w14:paraId="0F543BCD" w14:textId="4252B33C"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19.43%</w:t>
            </w:r>
          </w:p>
        </w:tc>
        <w:tc>
          <w:tcPr>
            <w:tcW w:w="1322" w:type="dxa"/>
            <w:tcBorders>
              <w:top w:val="single" w:sz="4" w:space="0" w:color="459BBC"/>
              <w:bottom w:val="single" w:sz="4" w:space="0" w:color="459BBC"/>
            </w:tcBorders>
            <w:noWrap/>
            <w:vAlign w:val="center"/>
            <w:hideMark/>
          </w:tcPr>
          <w:p w14:paraId="2D86D867" w14:textId="79B2DCC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17.58%</w:t>
            </w:r>
          </w:p>
        </w:tc>
        <w:tc>
          <w:tcPr>
            <w:tcW w:w="1323" w:type="dxa"/>
            <w:tcBorders>
              <w:top w:val="single" w:sz="4" w:space="0" w:color="459BBC"/>
              <w:bottom w:val="single" w:sz="4" w:space="0" w:color="459BBC"/>
              <w:right w:val="single" w:sz="4" w:space="0" w:color="459BBC"/>
            </w:tcBorders>
            <w:noWrap/>
            <w:vAlign w:val="center"/>
            <w:hideMark/>
          </w:tcPr>
          <w:p w14:paraId="2928B259" w14:textId="5DCC081E"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11.68%</w:t>
            </w:r>
          </w:p>
        </w:tc>
      </w:tr>
      <w:tr w:rsidR="004C5D30" w:rsidRPr="00F247E1" w14:paraId="5D26C4D6"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7F03B373" w14:textId="5B0066D7"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International Developed Equities (EAFE)</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4C08398A" w14:textId="04E50AE2"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VEA</w:t>
            </w:r>
          </w:p>
        </w:tc>
        <w:tc>
          <w:tcPr>
            <w:tcW w:w="1322" w:type="dxa"/>
            <w:tcBorders>
              <w:top w:val="single" w:sz="4" w:space="0" w:color="459BBC"/>
              <w:left w:val="dotDotDash" w:sz="4" w:space="0" w:color="459BBC"/>
              <w:bottom w:val="single" w:sz="4" w:space="0" w:color="459BBC"/>
            </w:tcBorders>
            <w:noWrap/>
            <w:vAlign w:val="center"/>
            <w:hideMark/>
          </w:tcPr>
          <w:p w14:paraId="72943939" w14:textId="77605AA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1.77%</w:t>
            </w:r>
          </w:p>
        </w:tc>
        <w:tc>
          <w:tcPr>
            <w:tcW w:w="1322" w:type="dxa"/>
            <w:tcBorders>
              <w:top w:val="single" w:sz="4" w:space="0" w:color="459BBC"/>
              <w:bottom w:val="single" w:sz="4" w:space="0" w:color="459BBC"/>
            </w:tcBorders>
            <w:noWrap/>
            <w:vAlign w:val="center"/>
            <w:hideMark/>
          </w:tcPr>
          <w:p w14:paraId="3B643499" w14:textId="4682F79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8.99%</w:t>
            </w:r>
          </w:p>
        </w:tc>
        <w:tc>
          <w:tcPr>
            <w:tcW w:w="1323" w:type="dxa"/>
            <w:tcBorders>
              <w:top w:val="single" w:sz="4" w:space="0" w:color="459BBC"/>
              <w:bottom w:val="single" w:sz="4" w:space="0" w:color="459BBC"/>
            </w:tcBorders>
            <w:noWrap/>
            <w:vAlign w:val="center"/>
            <w:hideMark/>
          </w:tcPr>
          <w:p w14:paraId="0E4292D9" w14:textId="29610871"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25.70%</w:t>
            </w:r>
          </w:p>
        </w:tc>
        <w:tc>
          <w:tcPr>
            <w:tcW w:w="1322" w:type="dxa"/>
            <w:tcBorders>
              <w:top w:val="single" w:sz="4" w:space="0" w:color="459BBC"/>
              <w:bottom w:val="single" w:sz="4" w:space="0" w:color="459BBC"/>
            </w:tcBorders>
            <w:noWrap/>
            <w:vAlign w:val="center"/>
            <w:hideMark/>
          </w:tcPr>
          <w:p w14:paraId="2B084A54" w14:textId="0A8D8D74"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20.22%</w:t>
            </w:r>
          </w:p>
        </w:tc>
        <w:tc>
          <w:tcPr>
            <w:tcW w:w="1322" w:type="dxa"/>
            <w:tcBorders>
              <w:top w:val="single" w:sz="4" w:space="0" w:color="459BBC"/>
              <w:bottom w:val="single" w:sz="4" w:space="0" w:color="459BBC"/>
            </w:tcBorders>
            <w:noWrap/>
            <w:vAlign w:val="center"/>
            <w:hideMark/>
          </w:tcPr>
          <w:p w14:paraId="78183488" w14:textId="737849AB"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12.49%</w:t>
            </w:r>
          </w:p>
        </w:tc>
        <w:tc>
          <w:tcPr>
            <w:tcW w:w="1323" w:type="dxa"/>
            <w:tcBorders>
              <w:top w:val="single" w:sz="4" w:space="0" w:color="459BBC"/>
              <w:bottom w:val="single" w:sz="4" w:space="0" w:color="459BBC"/>
              <w:right w:val="single" w:sz="4" w:space="0" w:color="459BBC"/>
            </w:tcBorders>
            <w:noWrap/>
            <w:vAlign w:val="center"/>
            <w:hideMark/>
          </w:tcPr>
          <w:p w14:paraId="53A43234" w14:textId="68AF1D9B"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7.99%</w:t>
            </w:r>
          </w:p>
        </w:tc>
      </w:tr>
      <w:tr w:rsidR="004C5D30" w:rsidRPr="00F247E1" w14:paraId="4F64B69A"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335A3EAD" w14:textId="7CAFB90D"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International Developed Equities (EAFE-C$H)</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28235322" w14:textId="4FFDA215"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VI.TO</w:t>
            </w:r>
          </w:p>
        </w:tc>
        <w:tc>
          <w:tcPr>
            <w:tcW w:w="1322" w:type="dxa"/>
            <w:tcBorders>
              <w:top w:val="single" w:sz="4" w:space="0" w:color="459BBC"/>
              <w:left w:val="dotDotDash" w:sz="4" w:space="0" w:color="459BBC"/>
              <w:bottom w:val="single" w:sz="4" w:space="0" w:color="459BBC"/>
            </w:tcBorders>
            <w:noWrap/>
            <w:vAlign w:val="center"/>
            <w:hideMark/>
          </w:tcPr>
          <w:p w14:paraId="6E39027C" w14:textId="210FA02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4.19%</w:t>
            </w:r>
          </w:p>
        </w:tc>
        <w:tc>
          <w:tcPr>
            <w:tcW w:w="1322" w:type="dxa"/>
            <w:tcBorders>
              <w:top w:val="single" w:sz="4" w:space="0" w:color="459BBC"/>
              <w:bottom w:val="single" w:sz="4" w:space="0" w:color="459BBC"/>
            </w:tcBorders>
            <w:noWrap/>
            <w:vAlign w:val="center"/>
            <w:hideMark/>
          </w:tcPr>
          <w:p w14:paraId="1C2145A9" w14:textId="6F7F874D"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8.70%</w:t>
            </w:r>
          </w:p>
        </w:tc>
        <w:tc>
          <w:tcPr>
            <w:tcW w:w="1323" w:type="dxa"/>
            <w:tcBorders>
              <w:top w:val="single" w:sz="4" w:space="0" w:color="459BBC"/>
              <w:bottom w:val="single" w:sz="4" w:space="0" w:color="459BBC"/>
            </w:tcBorders>
            <w:noWrap/>
            <w:vAlign w:val="center"/>
            <w:hideMark/>
          </w:tcPr>
          <w:p w14:paraId="437A2C8D" w14:textId="0A768957"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21.81%</w:t>
            </w:r>
          </w:p>
        </w:tc>
        <w:tc>
          <w:tcPr>
            <w:tcW w:w="1322" w:type="dxa"/>
            <w:tcBorders>
              <w:top w:val="single" w:sz="4" w:space="0" w:color="459BBC"/>
              <w:bottom w:val="single" w:sz="4" w:space="0" w:color="459BBC"/>
            </w:tcBorders>
            <w:noWrap/>
            <w:vAlign w:val="center"/>
            <w:hideMark/>
          </w:tcPr>
          <w:p w14:paraId="410BF3FD" w14:textId="007F858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18.44%</w:t>
            </w:r>
          </w:p>
        </w:tc>
        <w:tc>
          <w:tcPr>
            <w:tcW w:w="1322" w:type="dxa"/>
            <w:tcBorders>
              <w:top w:val="single" w:sz="4" w:space="0" w:color="459BBC"/>
              <w:bottom w:val="single" w:sz="4" w:space="0" w:color="459BBC"/>
            </w:tcBorders>
            <w:noWrap/>
            <w:vAlign w:val="center"/>
            <w:hideMark/>
          </w:tcPr>
          <w:p w14:paraId="029C17CA" w14:textId="37326B5A"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15.29%</w:t>
            </w:r>
          </w:p>
        </w:tc>
        <w:tc>
          <w:tcPr>
            <w:tcW w:w="1323" w:type="dxa"/>
            <w:tcBorders>
              <w:top w:val="single" w:sz="4" w:space="0" w:color="459BBC"/>
              <w:bottom w:val="single" w:sz="4" w:space="0" w:color="459BBC"/>
              <w:right w:val="single" w:sz="4" w:space="0" w:color="459BBC"/>
            </w:tcBorders>
            <w:noWrap/>
            <w:vAlign w:val="center"/>
            <w:hideMark/>
          </w:tcPr>
          <w:p w14:paraId="394962EB" w14:textId="244D3756" w:rsidR="004C5D30" w:rsidRPr="004C5D30" w:rsidRDefault="004C5D30" w:rsidP="004C5D30">
            <w:pPr>
              <w:spacing w:line="259" w:lineRule="auto"/>
              <w:jc w:val="center"/>
              <w:rPr>
                <w:rFonts w:ascii="Open Sans" w:hAnsi="Open Sans" w:cs="Open Sans"/>
                <w:color w:val="000000" w:themeColor="text1"/>
                <w:sz w:val="20"/>
                <w:szCs w:val="20"/>
              </w:rPr>
            </w:pPr>
            <w:r w:rsidRPr="004C5D30">
              <w:rPr>
                <w:rFonts w:ascii="Open Sans" w:hAnsi="Open Sans" w:cs="Open Sans"/>
                <w:color w:val="000000"/>
                <w:sz w:val="20"/>
                <w:szCs w:val="20"/>
              </w:rPr>
              <w:t>8.98%</w:t>
            </w:r>
          </w:p>
        </w:tc>
      </w:tr>
      <w:tr w:rsidR="004C5D30" w:rsidRPr="00F247E1" w14:paraId="03A8FA3E"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65BE0BA2" w14:textId="1E764DE3"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Emerging Markets Broad</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46D12FF3" w14:textId="231F7069"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VWO</w:t>
            </w:r>
          </w:p>
        </w:tc>
        <w:tc>
          <w:tcPr>
            <w:tcW w:w="1322" w:type="dxa"/>
            <w:tcBorders>
              <w:top w:val="single" w:sz="4" w:space="0" w:color="459BBC"/>
              <w:left w:val="dotDotDash" w:sz="4" w:space="0" w:color="459BBC"/>
              <w:bottom w:val="single" w:sz="4" w:space="0" w:color="459BBC"/>
            </w:tcBorders>
            <w:noWrap/>
            <w:vAlign w:val="center"/>
            <w:hideMark/>
          </w:tcPr>
          <w:p w14:paraId="62295EE8" w14:textId="4150A2CD"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1.46%</w:t>
            </w:r>
          </w:p>
        </w:tc>
        <w:tc>
          <w:tcPr>
            <w:tcW w:w="1322" w:type="dxa"/>
            <w:tcBorders>
              <w:top w:val="single" w:sz="4" w:space="0" w:color="459BBC"/>
              <w:bottom w:val="single" w:sz="4" w:space="0" w:color="459BBC"/>
            </w:tcBorders>
            <w:noWrap/>
            <w:vAlign w:val="center"/>
            <w:hideMark/>
          </w:tcPr>
          <w:p w14:paraId="682ADE1E" w14:textId="4D827407"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10.95%</w:t>
            </w:r>
          </w:p>
        </w:tc>
        <w:tc>
          <w:tcPr>
            <w:tcW w:w="1323" w:type="dxa"/>
            <w:tcBorders>
              <w:top w:val="single" w:sz="4" w:space="0" w:color="459BBC"/>
              <w:bottom w:val="single" w:sz="4" w:space="0" w:color="459BBC"/>
            </w:tcBorders>
            <w:noWrap/>
            <w:vAlign w:val="center"/>
            <w:hideMark/>
          </w:tcPr>
          <w:p w14:paraId="4F981E0F" w14:textId="20AA1D6A"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21.99%</w:t>
            </w:r>
          </w:p>
        </w:tc>
        <w:tc>
          <w:tcPr>
            <w:tcW w:w="1322" w:type="dxa"/>
            <w:tcBorders>
              <w:top w:val="single" w:sz="4" w:space="0" w:color="459BBC"/>
              <w:bottom w:val="single" w:sz="4" w:space="0" w:color="459BBC"/>
            </w:tcBorders>
            <w:noWrap/>
            <w:vAlign w:val="center"/>
            <w:hideMark/>
          </w:tcPr>
          <w:p w14:paraId="19C5F447" w14:textId="3937426D"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19.37%</w:t>
            </w:r>
          </w:p>
        </w:tc>
        <w:tc>
          <w:tcPr>
            <w:tcW w:w="1322" w:type="dxa"/>
            <w:tcBorders>
              <w:top w:val="single" w:sz="4" w:space="0" w:color="459BBC"/>
              <w:bottom w:val="single" w:sz="4" w:space="0" w:color="459BBC"/>
            </w:tcBorders>
            <w:noWrap/>
            <w:vAlign w:val="center"/>
            <w:hideMark/>
          </w:tcPr>
          <w:p w14:paraId="5A38FE90" w14:textId="17FC1E0D"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7.78%</w:t>
            </w:r>
          </w:p>
        </w:tc>
        <w:tc>
          <w:tcPr>
            <w:tcW w:w="1323" w:type="dxa"/>
            <w:tcBorders>
              <w:top w:val="single" w:sz="4" w:space="0" w:color="459BBC"/>
              <w:bottom w:val="single" w:sz="4" w:space="0" w:color="459BBC"/>
              <w:right w:val="single" w:sz="4" w:space="0" w:color="459BBC"/>
            </w:tcBorders>
            <w:noWrap/>
            <w:vAlign w:val="center"/>
            <w:hideMark/>
          </w:tcPr>
          <w:p w14:paraId="578AD20C" w14:textId="3E199304"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7.62%</w:t>
            </w:r>
          </w:p>
        </w:tc>
      </w:tr>
      <w:tr w:rsidR="004C5D30" w:rsidRPr="00F247E1" w14:paraId="56EB7EBF"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0494D4E0" w14:textId="356F879E"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Emerging Markets Broad (C$)</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5CB73944" w14:textId="69056FCB"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VEE.TO</w:t>
            </w:r>
          </w:p>
        </w:tc>
        <w:tc>
          <w:tcPr>
            <w:tcW w:w="1322" w:type="dxa"/>
            <w:tcBorders>
              <w:top w:val="single" w:sz="4" w:space="0" w:color="459BBC"/>
              <w:left w:val="dotDotDash" w:sz="4" w:space="0" w:color="459BBC"/>
              <w:bottom w:val="single" w:sz="4" w:space="0" w:color="459BBC"/>
            </w:tcBorders>
            <w:noWrap/>
            <w:vAlign w:val="center"/>
            <w:hideMark/>
          </w:tcPr>
          <w:p w14:paraId="7C1CBFC3" w14:textId="7629E66D"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2.23%</w:t>
            </w:r>
          </w:p>
        </w:tc>
        <w:tc>
          <w:tcPr>
            <w:tcW w:w="1322" w:type="dxa"/>
            <w:tcBorders>
              <w:top w:val="single" w:sz="4" w:space="0" w:color="459BBC"/>
              <w:bottom w:val="single" w:sz="4" w:space="0" w:color="459BBC"/>
            </w:tcBorders>
            <w:noWrap/>
            <w:vAlign w:val="center"/>
            <w:hideMark/>
          </w:tcPr>
          <w:p w14:paraId="75F5A8C7" w14:textId="4079EBF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12.17%</w:t>
            </w:r>
          </w:p>
        </w:tc>
        <w:tc>
          <w:tcPr>
            <w:tcW w:w="1323" w:type="dxa"/>
            <w:tcBorders>
              <w:top w:val="single" w:sz="4" w:space="0" w:color="459BBC"/>
              <w:bottom w:val="single" w:sz="4" w:space="0" w:color="459BBC"/>
            </w:tcBorders>
            <w:noWrap/>
            <w:vAlign w:val="center"/>
            <w:hideMark/>
          </w:tcPr>
          <w:p w14:paraId="6C58CDC1" w14:textId="205E530D"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22.06%</w:t>
            </w:r>
          </w:p>
        </w:tc>
        <w:tc>
          <w:tcPr>
            <w:tcW w:w="1322" w:type="dxa"/>
            <w:tcBorders>
              <w:top w:val="single" w:sz="4" w:space="0" w:color="459BBC"/>
              <w:bottom w:val="single" w:sz="4" w:space="0" w:color="459BBC"/>
            </w:tcBorders>
            <w:noWrap/>
            <w:vAlign w:val="center"/>
            <w:hideMark/>
          </w:tcPr>
          <w:p w14:paraId="25DA61DF" w14:textId="5DA4D7E9"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19.77%</w:t>
            </w:r>
          </w:p>
        </w:tc>
        <w:tc>
          <w:tcPr>
            <w:tcW w:w="1322" w:type="dxa"/>
            <w:tcBorders>
              <w:top w:val="single" w:sz="4" w:space="0" w:color="459BBC"/>
              <w:bottom w:val="single" w:sz="4" w:space="0" w:color="459BBC"/>
            </w:tcBorders>
            <w:noWrap/>
            <w:vAlign w:val="center"/>
            <w:hideMark/>
          </w:tcPr>
          <w:p w14:paraId="45E96C1F" w14:textId="17FBFCB5"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8.26%</w:t>
            </w:r>
          </w:p>
        </w:tc>
        <w:tc>
          <w:tcPr>
            <w:tcW w:w="1323" w:type="dxa"/>
            <w:tcBorders>
              <w:top w:val="single" w:sz="4" w:space="0" w:color="459BBC"/>
              <w:bottom w:val="single" w:sz="4" w:space="0" w:color="459BBC"/>
              <w:right w:val="single" w:sz="4" w:space="0" w:color="459BBC"/>
            </w:tcBorders>
            <w:noWrap/>
            <w:vAlign w:val="center"/>
            <w:hideMark/>
          </w:tcPr>
          <w:p w14:paraId="26E5BF60" w14:textId="391A774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7.79%</w:t>
            </w:r>
          </w:p>
        </w:tc>
      </w:tr>
      <w:tr w:rsidR="004C5D30" w:rsidRPr="00F247E1" w14:paraId="3E349226"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236A3A0F" w14:textId="0487CB89"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Commodities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3D420EAB" w14:textId="298A9302"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GSG</w:t>
            </w:r>
          </w:p>
        </w:tc>
        <w:tc>
          <w:tcPr>
            <w:tcW w:w="1322" w:type="dxa"/>
            <w:tcBorders>
              <w:top w:val="single" w:sz="4" w:space="0" w:color="459BBC"/>
              <w:left w:val="dotDotDash" w:sz="4" w:space="0" w:color="459BBC"/>
              <w:bottom w:val="single" w:sz="4" w:space="0" w:color="459BBC"/>
            </w:tcBorders>
            <w:noWrap/>
            <w:vAlign w:val="center"/>
            <w:hideMark/>
          </w:tcPr>
          <w:p w14:paraId="2A3978F5" w14:textId="475EE297"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1.04%</w:t>
            </w:r>
          </w:p>
        </w:tc>
        <w:tc>
          <w:tcPr>
            <w:tcW w:w="1322" w:type="dxa"/>
            <w:tcBorders>
              <w:top w:val="single" w:sz="4" w:space="0" w:color="459BBC"/>
              <w:bottom w:val="single" w:sz="4" w:space="0" w:color="459BBC"/>
            </w:tcBorders>
            <w:noWrap/>
            <w:vAlign w:val="center"/>
            <w:hideMark/>
          </w:tcPr>
          <w:p w14:paraId="79E229BD" w14:textId="1E27A81A"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1.80%</w:t>
            </w:r>
          </w:p>
        </w:tc>
        <w:tc>
          <w:tcPr>
            <w:tcW w:w="1323" w:type="dxa"/>
            <w:tcBorders>
              <w:top w:val="single" w:sz="4" w:space="0" w:color="459BBC"/>
              <w:bottom w:val="single" w:sz="4" w:space="0" w:color="459BBC"/>
            </w:tcBorders>
            <w:noWrap/>
            <w:vAlign w:val="center"/>
            <w:hideMark/>
          </w:tcPr>
          <w:p w14:paraId="74683696" w14:textId="7268C0D6"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8.97%</w:t>
            </w:r>
          </w:p>
        </w:tc>
        <w:tc>
          <w:tcPr>
            <w:tcW w:w="1322" w:type="dxa"/>
            <w:tcBorders>
              <w:top w:val="single" w:sz="4" w:space="0" w:color="459BBC"/>
              <w:bottom w:val="single" w:sz="4" w:space="0" w:color="459BBC"/>
            </w:tcBorders>
            <w:noWrap/>
            <w:vAlign w:val="center"/>
            <w:hideMark/>
          </w:tcPr>
          <w:p w14:paraId="5D030D4E" w14:textId="37BAD850"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2.03%</w:t>
            </w:r>
          </w:p>
        </w:tc>
        <w:tc>
          <w:tcPr>
            <w:tcW w:w="1322" w:type="dxa"/>
            <w:tcBorders>
              <w:top w:val="single" w:sz="4" w:space="0" w:color="459BBC"/>
              <w:bottom w:val="single" w:sz="4" w:space="0" w:color="459BBC"/>
            </w:tcBorders>
            <w:noWrap/>
            <w:vAlign w:val="center"/>
            <w:hideMark/>
          </w:tcPr>
          <w:p w14:paraId="59224A11" w14:textId="16095799"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17.46%</w:t>
            </w:r>
          </w:p>
        </w:tc>
        <w:tc>
          <w:tcPr>
            <w:tcW w:w="1323" w:type="dxa"/>
            <w:tcBorders>
              <w:top w:val="single" w:sz="4" w:space="0" w:color="459BBC"/>
              <w:bottom w:val="single" w:sz="4" w:space="0" w:color="459BBC"/>
              <w:right w:val="single" w:sz="4" w:space="0" w:color="459BBC"/>
            </w:tcBorders>
            <w:noWrap/>
            <w:vAlign w:val="center"/>
            <w:hideMark/>
          </w:tcPr>
          <w:p w14:paraId="13805B20" w14:textId="7F72369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3.12%</w:t>
            </w:r>
          </w:p>
        </w:tc>
      </w:tr>
      <w:tr w:rsidR="004C5D30" w:rsidRPr="00F247E1" w14:paraId="1DC48553"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01D78623" w14:textId="78242073"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Gold</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4441A762" w14:textId="506EAF34"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GLD</w:t>
            </w:r>
          </w:p>
        </w:tc>
        <w:tc>
          <w:tcPr>
            <w:tcW w:w="1322" w:type="dxa"/>
            <w:tcBorders>
              <w:top w:val="single" w:sz="4" w:space="0" w:color="459BBC"/>
              <w:left w:val="dotDotDash" w:sz="4" w:space="0" w:color="459BBC"/>
              <w:bottom w:val="single" w:sz="4" w:space="0" w:color="459BBC"/>
            </w:tcBorders>
            <w:noWrap/>
            <w:vAlign w:val="center"/>
            <w:hideMark/>
          </w:tcPr>
          <w:p w14:paraId="25BF3D10" w14:textId="5BA5068F"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3.56%</w:t>
            </w:r>
          </w:p>
        </w:tc>
        <w:tc>
          <w:tcPr>
            <w:tcW w:w="1322" w:type="dxa"/>
            <w:tcBorders>
              <w:top w:val="single" w:sz="4" w:space="0" w:color="459BBC"/>
              <w:bottom w:val="single" w:sz="4" w:space="0" w:color="459BBC"/>
            </w:tcBorders>
            <w:noWrap/>
            <w:vAlign w:val="center"/>
            <w:hideMark/>
          </w:tcPr>
          <w:p w14:paraId="34964CDB" w14:textId="64F995B5"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21.51%</w:t>
            </w:r>
          </w:p>
        </w:tc>
        <w:tc>
          <w:tcPr>
            <w:tcW w:w="1323" w:type="dxa"/>
            <w:tcBorders>
              <w:top w:val="single" w:sz="4" w:space="0" w:color="459BBC"/>
              <w:bottom w:val="single" w:sz="4" w:space="0" w:color="459BBC"/>
            </w:tcBorders>
            <w:noWrap/>
            <w:vAlign w:val="center"/>
            <w:hideMark/>
          </w:tcPr>
          <w:p w14:paraId="050F3053" w14:textId="55F120F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45.21%</w:t>
            </w:r>
          </w:p>
        </w:tc>
        <w:tc>
          <w:tcPr>
            <w:tcW w:w="1322" w:type="dxa"/>
            <w:tcBorders>
              <w:top w:val="single" w:sz="4" w:space="0" w:color="459BBC"/>
              <w:bottom w:val="single" w:sz="4" w:space="0" w:color="459BBC"/>
            </w:tcBorders>
            <w:noWrap/>
            <w:vAlign w:val="center"/>
            <w:hideMark/>
          </w:tcPr>
          <w:p w14:paraId="32BD8D8F" w14:textId="1E8A5FE6"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34.32%</w:t>
            </w:r>
          </w:p>
        </w:tc>
        <w:tc>
          <w:tcPr>
            <w:tcW w:w="1322" w:type="dxa"/>
            <w:tcBorders>
              <w:top w:val="single" w:sz="4" w:space="0" w:color="459BBC"/>
              <w:bottom w:val="single" w:sz="4" w:space="0" w:color="459BBC"/>
            </w:tcBorders>
            <w:noWrap/>
            <w:vAlign w:val="center"/>
            <w:hideMark/>
          </w:tcPr>
          <w:p w14:paraId="2CEC83A3" w14:textId="3D8DCEED"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15.88%</w:t>
            </w:r>
          </w:p>
        </w:tc>
        <w:tc>
          <w:tcPr>
            <w:tcW w:w="1323" w:type="dxa"/>
            <w:tcBorders>
              <w:top w:val="single" w:sz="4" w:space="0" w:color="459BBC"/>
              <w:bottom w:val="single" w:sz="4" w:space="0" w:color="459BBC"/>
              <w:right w:val="single" w:sz="4" w:space="0" w:color="459BBC"/>
            </w:tcBorders>
            <w:noWrap/>
            <w:vAlign w:val="center"/>
            <w:hideMark/>
          </w:tcPr>
          <w:p w14:paraId="0882D225" w14:textId="044821CF"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12.91%</w:t>
            </w:r>
          </w:p>
        </w:tc>
      </w:tr>
      <w:tr w:rsidR="004C5D30" w:rsidRPr="00F247E1" w14:paraId="148360AE"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173B7741" w14:textId="1873E365"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REITs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5F5AB1A2" w14:textId="34B35A5B"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VNQ</w:t>
            </w:r>
          </w:p>
        </w:tc>
        <w:tc>
          <w:tcPr>
            <w:tcW w:w="1322" w:type="dxa"/>
            <w:tcBorders>
              <w:top w:val="single" w:sz="4" w:space="0" w:color="459BBC"/>
              <w:left w:val="dotDotDash" w:sz="4" w:space="0" w:color="459BBC"/>
              <w:bottom w:val="single" w:sz="4" w:space="0" w:color="459BBC"/>
            </w:tcBorders>
            <w:noWrap/>
            <w:vAlign w:val="center"/>
            <w:hideMark/>
          </w:tcPr>
          <w:p w14:paraId="355D7675" w14:textId="1AE22F27"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FF0000"/>
                <w:sz w:val="20"/>
                <w:szCs w:val="20"/>
              </w:rPr>
              <w:t>(2.45%)</w:t>
            </w:r>
          </w:p>
        </w:tc>
        <w:tc>
          <w:tcPr>
            <w:tcW w:w="1322" w:type="dxa"/>
            <w:tcBorders>
              <w:top w:val="single" w:sz="4" w:space="0" w:color="459BBC"/>
              <w:bottom w:val="single" w:sz="4" w:space="0" w:color="459BBC"/>
            </w:tcBorders>
            <w:noWrap/>
            <w:vAlign w:val="center"/>
            <w:hideMark/>
          </w:tcPr>
          <w:p w14:paraId="5D9641D7" w14:textId="5E45AF2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1.00%</w:t>
            </w:r>
          </w:p>
        </w:tc>
        <w:tc>
          <w:tcPr>
            <w:tcW w:w="1323" w:type="dxa"/>
            <w:tcBorders>
              <w:top w:val="single" w:sz="4" w:space="0" w:color="459BBC"/>
              <w:bottom w:val="single" w:sz="4" w:space="0" w:color="459BBC"/>
            </w:tcBorders>
            <w:noWrap/>
            <w:vAlign w:val="center"/>
            <w:hideMark/>
          </w:tcPr>
          <w:p w14:paraId="6868BF0D" w14:textId="4669F0B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FF0000"/>
                <w:sz w:val="20"/>
                <w:szCs w:val="20"/>
              </w:rPr>
              <w:t>(1.50%)</w:t>
            </w:r>
          </w:p>
        </w:tc>
        <w:tc>
          <w:tcPr>
            <w:tcW w:w="1322" w:type="dxa"/>
            <w:tcBorders>
              <w:top w:val="single" w:sz="4" w:space="0" w:color="459BBC"/>
              <w:bottom w:val="single" w:sz="4" w:space="0" w:color="459BBC"/>
            </w:tcBorders>
            <w:noWrap/>
            <w:vAlign w:val="center"/>
            <w:hideMark/>
          </w:tcPr>
          <w:p w14:paraId="15764FC9" w14:textId="325D6AC6"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6.81%</w:t>
            </w:r>
          </w:p>
        </w:tc>
        <w:tc>
          <w:tcPr>
            <w:tcW w:w="1322" w:type="dxa"/>
            <w:tcBorders>
              <w:top w:val="single" w:sz="4" w:space="0" w:color="459BBC"/>
              <w:bottom w:val="single" w:sz="4" w:space="0" w:color="459BBC"/>
            </w:tcBorders>
            <w:noWrap/>
            <w:vAlign w:val="center"/>
            <w:hideMark/>
          </w:tcPr>
          <w:p w14:paraId="76DF815F" w14:textId="44D5EE3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7.14%</w:t>
            </w:r>
          </w:p>
        </w:tc>
        <w:tc>
          <w:tcPr>
            <w:tcW w:w="1323" w:type="dxa"/>
            <w:tcBorders>
              <w:top w:val="single" w:sz="4" w:space="0" w:color="459BBC"/>
              <w:bottom w:val="single" w:sz="4" w:space="0" w:color="459BBC"/>
              <w:right w:val="single" w:sz="4" w:space="0" w:color="459BBC"/>
            </w:tcBorders>
            <w:noWrap/>
            <w:vAlign w:val="center"/>
            <w:hideMark/>
          </w:tcPr>
          <w:p w14:paraId="777311EB" w14:textId="5E20AE56"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5.25%</w:t>
            </w:r>
          </w:p>
        </w:tc>
      </w:tr>
      <w:tr w:rsidR="004C5D30" w:rsidRPr="00F247E1" w14:paraId="504D2FCE"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0F20B3E1" w14:textId="3C9F7247"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Inflation Protected Bonds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74A168D8" w14:textId="4EA1577F"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TIP</w:t>
            </w:r>
          </w:p>
        </w:tc>
        <w:tc>
          <w:tcPr>
            <w:tcW w:w="1322" w:type="dxa"/>
            <w:tcBorders>
              <w:top w:val="single" w:sz="4" w:space="0" w:color="459BBC"/>
              <w:left w:val="dotDotDash" w:sz="4" w:space="0" w:color="459BBC"/>
              <w:bottom w:val="single" w:sz="4" w:space="0" w:color="459BBC"/>
            </w:tcBorders>
            <w:noWrap/>
            <w:vAlign w:val="center"/>
            <w:hideMark/>
          </w:tcPr>
          <w:p w14:paraId="6F4029D1" w14:textId="26CD0AD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0.32%</w:t>
            </w:r>
          </w:p>
        </w:tc>
        <w:tc>
          <w:tcPr>
            <w:tcW w:w="1322" w:type="dxa"/>
            <w:tcBorders>
              <w:top w:val="single" w:sz="4" w:space="0" w:color="459BBC"/>
              <w:bottom w:val="single" w:sz="4" w:space="0" w:color="459BBC"/>
            </w:tcBorders>
            <w:noWrap/>
            <w:vAlign w:val="center"/>
            <w:hideMark/>
          </w:tcPr>
          <w:p w14:paraId="0B9120CE" w14:textId="2325754E"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2.37%</w:t>
            </w:r>
          </w:p>
        </w:tc>
        <w:tc>
          <w:tcPr>
            <w:tcW w:w="1323" w:type="dxa"/>
            <w:tcBorders>
              <w:top w:val="single" w:sz="4" w:space="0" w:color="459BBC"/>
              <w:bottom w:val="single" w:sz="4" w:space="0" w:color="459BBC"/>
            </w:tcBorders>
            <w:noWrap/>
            <w:vAlign w:val="center"/>
            <w:hideMark/>
          </w:tcPr>
          <w:p w14:paraId="59A42546" w14:textId="6F1208B3"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5.88%</w:t>
            </w:r>
          </w:p>
        </w:tc>
        <w:tc>
          <w:tcPr>
            <w:tcW w:w="1322" w:type="dxa"/>
            <w:tcBorders>
              <w:top w:val="single" w:sz="4" w:space="0" w:color="459BBC"/>
              <w:bottom w:val="single" w:sz="4" w:space="0" w:color="459BBC"/>
            </w:tcBorders>
            <w:noWrap/>
            <w:vAlign w:val="center"/>
            <w:hideMark/>
          </w:tcPr>
          <w:p w14:paraId="0936CF3E" w14:textId="21E4B34A"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4.36%</w:t>
            </w:r>
          </w:p>
        </w:tc>
        <w:tc>
          <w:tcPr>
            <w:tcW w:w="1322" w:type="dxa"/>
            <w:tcBorders>
              <w:top w:val="single" w:sz="4" w:space="0" w:color="459BBC"/>
              <w:bottom w:val="single" w:sz="4" w:space="0" w:color="459BBC"/>
            </w:tcBorders>
            <w:noWrap/>
            <w:vAlign w:val="center"/>
            <w:hideMark/>
          </w:tcPr>
          <w:p w14:paraId="16B924B7" w14:textId="5DBEE5E3"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1.42%</w:t>
            </w:r>
          </w:p>
        </w:tc>
        <w:tc>
          <w:tcPr>
            <w:tcW w:w="1323" w:type="dxa"/>
            <w:tcBorders>
              <w:top w:val="single" w:sz="4" w:space="0" w:color="459BBC"/>
              <w:bottom w:val="single" w:sz="4" w:space="0" w:color="459BBC"/>
              <w:right w:val="single" w:sz="4" w:space="0" w:color="459BBC"/>
            </w:tcBorders>
            <w:noWrap/>
            <w:vAlign w:val="center"/>
            <w:hideMark/>
          </w:tcPr>
          <w:p w14:paraId="57C233E1" w14:textId="7F8624A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2.83%</w:t>
            </w:r>
          </w:p>
        </w:tc>
      </w:tr>
      <w:tr w:rsidR="004C5D30" w:rsidRPr="00F247E1" w14:paraId="07E0D053"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3C2FCF59" w14:textId="3A425117"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Total Bond Market</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11325730" w14:textId="7B80235A"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AGG</w:t>
            </w:r>
          </w:p>
        </w:tc>
        <w:tc>
          <w:tcPr>
            <w:tcW w:w="1322" w:type="dxa"/>
            <w:tcBorders>
              <w:top w:val="single" w:sz="4" w:space="0" w:color="459BBC"/>
              <w:left w:val="dotDotDash" w:sz="4" w:space="0" w:color="459BBC"/>
              <w:bottom w:val="single" w:sz="4" w:space="0" w:color="459BBC"/>
            </w:tcBorders>
            <w:noWrap/>
            <w:vAlign w:val="center"/>
            <w:hideMark/>
          </w:tcPr>
          <w:p w14:paraId="53477559" w14:textId="5839302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0.62%</w:t>
            </w:r>
          </w:p>
        </w:tc>
        <w:tc>
          <w:tcPr>
            <w:tcW w:w="1322" w:type="dxa"/>
            <w:tcBorders>
              <w:top w:val="single" w:sz="4" w:space="0" w:color="459BBC"/>
              <w:bottom w:val="single" w:sz="4" w:space="0" w:color="459BBC"/>
            </w:tcBorders>
            <w:noWrap/>
            <w:vAlign w:val="center"/>
            <w:hideMark/>
          </w:tcPr>
          <w:p w14:paraId="776DB7E9" w14:textId="24F90A0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2.96%</w:t>
            </w:r>
          </w:p>
        </w:tc>
        <w:tc>
          <w:tcPr>
            <w:tcW w:w="1323" w:type="dxa"/>
            <w:tcBorders>
              <w:top w:val="single" w:sz="4" w:space="0" w:color="459BBC"/>
              <w:bottom w:val="single" w:sz="4" w:space="0" w:color="459BBC"/>
            </w:tcBorders>
            <w:noWrap/>
            <w:vAlign w:val="center"/>
            <w:hideMark/>
          </w:tcPr>
          <w:p w14:paraId="47356B04" w14:textId="0102A1C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6.20%</w:t>
            </w:r>
          </w:p>
        </w:tc>
        <w:tc>
          <w:tcPr>
            <w:tcW w:w="1322" w:type="dxa"/>
            <w:tcBorders>
              <w:top w:val="single" w:sz="4" w:space="0" w:color="459BBC"/>
              <w:bottom w:val="single" w:sz="4" w:space="0" w:color="459BBC"/>
            </w:tcBorders>
            <w:noWrap/>
            <w:vAlign w:val="center"/>
            <w:hideMark/>
          </w:tcPr>
          <w:p w14:paraId="67575E94" w14:textId="5D055D6E"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5.47%</w:t>
            </w:r>
          </w:p>
        </w:tc>
        <w:tc>
          <w:tcPr>
            <w:tcW w:w="1322" w:type="dxa"/>
            <w:tcBorders>
              <w:top w:val="single" w:sz="4" w:space="0" w:color="459BBC"/>
              <w:bottom w:val="single" w:sz="4" w:space="0" w:color="459BBC"/>
            </w:tcBorders>
            <w:noWrap/>
            <w:vAlign w:val="center"/>
            <w:hideMark/>
          </w:tcPr>
          <w:p w14:paraId="1DD443B6" w14:textId="1FE7EE2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FF0000"/>
                <w:sz w:val="20"/>
                <w:szCs w:val="20"/>
              </w:rPr>
              <w:t>(0.26%)</w:t>
            </w:r>
          </w:p>
        </w:tc>
        <w:tc>
          <w:tcPr>
            <w:tcW w:w="1323" w:type="dxa"/>
            <w:tcBorders>
              <w:top w:val="single" w:sz="4" w:space="0" w:color="459BBC"/>
              <w:bottom w:val="single" w:sz="4" w:space="0" w:color="459BBC"/>
              <w:right w:val="single" w:sz="4" w:space="0" w:color="459BBC"/>
            </w:tcBorders>
            <w:noWrap/>
            <w:vAlign w:val="center"/>
            <w:hideMark/>
          </w:tcPr>
          <w:p w14:paraId="73365ED4" w14:textId="31DE34C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1.85%</w:t>
            </w:r>
          </w:p>
        </w:tc>
      </w:tr>
      <w:tr w:rsidR="004C5D30" w:rsidRPr="00F247E1" w14:paraId="46C6B059"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56A4A371" w14:textId="2BC0D385"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IG Credit</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051F1519" w14:textId="7739DECE"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LQD</w:t>
            </w:r>
          </w:p>
        </w:tc>
        <w:tc>
          <w:tcPr>
            <w:tcW w:w="1322" w:type="dxa"/>
            <w:tcBorders>
              <w:top w:val="single" w:sz="4" w:space="0" w:color="459BBC"/>
              <w:left w:val="dotDotDash" w:sz="4" w:space="0" w:color="459BBC"/>
              <w:bottom w:val="single" w:sz="4" w:space="0" w:color="459BBC"/>
            </w:tcBorders>
            <w:noWrap/>
            <w:vAlign w:val="center"/>
            <w:hideMark/>
          </w:tcPr>
          <w:p w14:paraId="14791AE7" w14:textId="349AB5B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0.15%</w:t>
            </w:r>
          </w:p>
        </w:tc>
        <w:tc>
          <w:tcPr>
            <w:tcW w:w="1322" w:type="dxa"/>
            <w:tcBorders>
              <w:top w:val="single" w:sz="4" w:space="0" w:color="459BBC"/>
              <w:bottom w:val="single" w:sz="4" w:space="0" w:color="459BBC"/>
            </w:tcBorders>
            <w:noWrap/>
            <w:vAlign w:val="center"/>
            <w:hideMark/>
          </w:tcPr>
          <w:p w14:paraId="0509D9F3" w14:textId="2E3A130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3.09%</w:t>
            </w:r>
          </w:p>
        </w:tc>
        <w:tc>
          <w:tcPr>
            <w:tcW w:w="1323" w:type="dxa"/>
            <w:tcBorders>
              <w:top w:val="single" w:sz="4" w:space="0" w:color="459BBC"/>
              <w:bottom w:val="single" w:sz="4" w:space="0" w:color="459BBC"/>
            </w:tcBorders>
            <w:noWrap/>
            <w:vAlign w:val="center"/>
            <w:hideMark/>
          </w:tcPr>
          <w:p w14:paraId="65FB046F" w14:textId="04F8124A"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6.69%</w:t>
            </w:r>
          </w:p>
        </w:tc>
        <w:tc>
          <w:tcPr>
            <w:tcW w:w="1322" w:type="dxa"/>
            <w:tcBorders>
              <w:top w:val="single" w:sz="4" w:space="0" w:color="459BBC"/>
              <w:bottom w:val="single" w:sz="4" w:space="0" w:color="459BBC"/>
            </w:tcBorders>
            <w:noWrap/>
            <w:vAlign w:val="center"/>
            <w:hideMark/>
          </w:tcPr>
          <w:p w14:paraId="69E60943" w14:textId="3BE25D33"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7.65%</w:t>
            </w:r>
          </w:p>
        </w:tc>
        <w:tc>
          <w:tcPr>
            <w:tcW w:w="1322" w:type="dxa"/>
            <w:tcBorders>
              <w:top w:val="single" w:sz="4" w:space="0" w:color="459BBC"/>
              <w:bottom w:val="single" w:sz="4" w:space="0" w:color="459BBC"/>
            </w:tcBorders>
            <w:noWrap/>
            <w:vAlign w:val="center"/>
            <w:hideMark/>
          </w:tcPr>
          <w:p w14:paraId="38FE419B" w14:textId="39979879"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FF0000"/>
                <w:sz w:val="20"/>
                <w:szCs w:val="20"/>
              </w:rPr>
              <w:t>(0.10%)</w:t>
            </w:r>
          </w:p>
        </w:tc>
        <w:tc>
          <w:tcPr>
            <w:tcW w:w="1323" w:type="dxa"/>
            <w:tcBorders>
              <w:top w:val="single" w:sz="4" w:space="0" w:color="459BBC"/>
              <w:bottom w:val="single" w:sz="4" w:space="0" w:color="459BBC"/>
              <w:right w:val="single" w:sz="4" w:space="0" w:color="459BBC"/>
            </w:tcBorders>
            <w:noWrap/>
            <w:vAlign w:val="center"/>
            <w:hideMark/>
          </w:tcPr>
          <w:p w14:paraId="0D27B13A" w14:textId="761E4FD5"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3.03%</w:t>
            </w:r>
          </w:p>
        </w:tc>
      </w:tr>
      <w:tr w:rsidR="004C5D30" w:rsidRPr="00F247E1" w14:paraId="708E9AB0"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4F681B9A" w14:textId="2E1AA570"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High Yield</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67F7B18B" w14:textId="509722CA"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JNK</w:t>
            </w:r>
          </w:p>
        </w:tc>
        <w:tc>
          <w:tcPr>
            <w:tcW w:w="1322" w:type="dxa"/>
            <w:tcBorders>
              <w:top w:val="single" w:sz="4" w:space="0" w:color="459BBC"/>
              <w:left w:val="dotDotDash" w:sz="4" w:space="0" w:color="459BBC"/>
              <w:bottom w:val="single" w:sz="4" w:space="0" w:color="459BBC"/>
            </w:tcBorders>
            <w:noWrap/>
            <w:vAlign w:val="center"/>
            <w:hideMark/>
          </w:tcPr>
          <w:p w14:paraId="24631018" w14:textId="771D830B"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FF0000"/>
                <w:sz w:val="20"/>
                <w:szCs w:val="20"/>
              </w:rPr>
              <w:t>(0.06%)</w:t>
            </w:r>
          </w:p>
        </w:tc>
        <w:tc>
          <w:tcPr>
            <w:tcW w:w="1322" w:type="dxa"/>
            <w:tcBorders>
              <w:top w:val="single" w:sz="4" w:space="0" w:color="459BBC"/>
              <w:bottom w:val="single" w:sz="4" w:space="0" w:color="459BBC"/>
            </w:tcBorders>
            <w:noWrap/>
            <w:vAlign w:val="center"/>
            <w:hideMark/>
          </w:tcPr>
          <w:p w14:paraId="076D2018" w14:textId="03E9843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2.19%</w:t>
            </w:r>
          </w:p>
        </w:tc>
        <w:tc>
          <w:tcPr>
            <w:tcW w:w="1323" w:type="dxa"/>
            <w:tcBorders>
              <w:top w:val="single" w:sz="4" w:space="0" w:color="459BBC"/>
              <w:bottom w:val="single" w:sz="4" w:space="0" w:color="459BBC"/>
            </w:tcBorders>
            <w:noWrap/>
            <w:vAlign w:val="center"/>
            <w:hideMark/>
          </w:tcPr>
          <w:p w14:paraId="0074F51D" w14:textId="3081B96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8.06%</w:t>
            </w:r>
          </w:p>
        </w:tc>
        <w:tc>
          <w:tcPr>
            <w:tcW w:w="1322" w:type="dxa"/>
            <w:tcBorders>
              <w:top w:val="single" w:sz="4" w:space="0" w:color="459BBC"/>
              <w:bottom w:val="single" w:sz="4" w:space="0" w:color="459BBC"/>
            </w:tcBorders>
            <w:noWrap/>
            <w:vAlign w:val="center"/>
            <w:hideMark/>
          </w:tcPr>
          <w:p w14:paraId="21EC1C73" w14:textId="7BB25737"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9.70%</w:t>
            </w:r>
          </w:p>
        </w:tc>
        <w:tc>
          <w:tcPr>
            <w:tcW w:w="1322" w:type="dxa"/>
            <w:tcBorders>
              <w:top w:val="single" w:sz="4" w:space="0" w:color="459BBC"/>
              <w:bottom w:val="single" w:sz="4" w:space="0" w:color="459BBC"/>
            </w:tcBorders>
            <w:noWrap/>
            <w:vAlign w:val="center"/>
            <w:hideMark/>
          </w:tcPr>
          <w:p w14:paraId="7A0C231E" w14:textId="03C8DF0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4.63%</w:t>
            </w:r>
          </w:p>
        </w:tc>
        <w:tc>
          <w:tcPr>
            <w:tcW w:w="1323" w:type="dxa"/>
            <w:tcBorders>
              <w:top w:val="single" w:sz="4" w:space="0" w:color="459BBC"/>
              <w:bottom w:val="single" w:sz="4" w:space="0" w:color="459BBC"/>
              <w:right w:val="single" w:sz="4" w:space="0" w:color="459BBC"/>
            </w:tcBorders>
            <w:noWrap/>
            <w:vAlign w:val="center"/>
            <w:hideMark/>
          </w:tcPr>
          <w:p w14:paraId="3EAC3C35" w14:textId="4C20E7BC"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4.74%</w:t>
            </w:r>
          </w:p>
        </w:tc>
      </w:tr>
      <w:tr w:rsidR="004C5D30" w:rsidRPr="00F247E1" w14:paraId="030FCB5F"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4BC3F757" w14:textId="4E4D9B98"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Canadian Total Bond Market</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37F4912F" w14:textId="2CABBC78"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XBB.TO</w:t>
            </w:r>
          </w:p>
        </w:tc>
        <w:tc>
          <w:tcPr>
            <w:tcW w:w="1322" w:type="dxa"/>
            <w:tcBorders>
              <w:top w:val="single" w:sz="4" w:space="0" w:color="459BBC"/>
              <w:left w:val="dotDotDash" w:sz="4" w:space="0" w:color="459BBC"/>
              <w:bottom w:val="single" w:sz="4" w:space="0" w:color="459BBC"/>
            </w:tcBorders>
            <w:noWrap/>
            <w:vAlign w:val="center"/>
            <w:hideMark/>
          </w:tcPr>
          <w:p w14:paraId="3C7283FA" w14:textId="2566E91F"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0.98%</w:t>
            </w:r>
          </w:p>
        </w:tc>
        <w:tc>
          <w:tcPr>
            <w:tcW w:w="1322" w:type="dxa"/>
            <w:tcBorders>
              <w:top w:val="single" w:sz="4" w:space="0" w:color="459BBC"/>
              <w:bottom w:val="single" w:sz="4" w:space="0" w:color="459BBC"/>
            </w:tcBorders>
            <w:noWrap/>
            <w:vAlign w:val="center"/>
            <w:hideMark/>
          </w:tcPr>
          <w:p w14:paraId="103DE7BD" w14:textId="780A0B3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3.27%</w:t>
            </w:r>
          </w:p>
        </w:tc>
        <w:tc>
          <w:tcPr>
            <w:tcW w:w="1323" w:type="dxa"/>
            <w:tcBorders>
              <w:top w:val="single" w:sz="4" w:space="0" w:color="459BBC"/>
              <w:bottom w:val="single" w:sz="4" w:space="0" w:color="459BBC"/>
            </w:tcBorders>
            <w:noWrap/>
            <w:vAlign w:val="center"/>
            <w:hideMark/>
          </w:tcPr>
          <w:p w14:paraId="31EFEFF0" w14:textId="345D760E"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4.96%</w:t>
            </w:r>
          </w:p>
        </w:tc>
        <w:tc>
          <w:tcPr>
            <w:tcW w:w="1322" w:type="dxa"/>
            <w:tcBorders>
              <w:top w:val="single" w:sz="4" w:space="0" w:color="459BBC"/>
              <w:bottom w:val="single" w:sz="4" w:space="0" w:color="459BBC"/>
            </w:tcBorders>
            <w:noWrap/>
            <w:vAlign w:val="center"/>
            <w:hideMark/>
          </w:tcPr>
          <w:p w14:paraId="5CD49F74" w14:textId="0086C3BE"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5.28%</w:t>
            </w:r>
          </w:p>
        </w:tc>
        <w:tc>
          <w:tcPr>
            <w:tcW w:w="1322" w:type="dxa"/>
            <w:tcBorders>
              <w:top w:val="single" w:sz="4" w:space="0" w:color="459BBC"/>
              <w:bottom w:val="single" w:sz="4" w:space="0" w:color="459BBC"/>
            </w:tcBorders>
            <w:noWrap/>
            <w:vAlign w:val="center"/>
            <w:hideMark/>
          </w:tcPr>
          <w:p w14:paraId="63F61A1A" w14:textId="4D0FFC8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0.09%</w:t>
            </w:r>
          </w:p>
        </w:tc>
        <w:tc>
          <w:tcPr>
            <w:tcW w:w="1323" w:type="dxa"/>
            <w:tcBorders>
              <w:top w:val="single" w:sz="4" w:space="0" w:color="459BBC"/>
              <w:bottom w:val="single" w:sz="4" w:space="0" w:color="459BBC"/>
              <w:right w:val="single" w:sz="4" w:space="0" w:color="459BBC"/>
            </w:tcBorders>
            <w:noWrap/>
            <w:vAlign w:val="center"/>
            <w:hideMark/>
          </w:tcPr>
          <w:p w14:paraId="73544609" w14:textId="7957C33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2.02%</w:t>
            </w:r>
          </w:p>
        </w:tc>
      </w:tr>
      <w:tr w:rsidR="004C5D30" w:rsidRPr="00F247E1" w14:paraId="456B23FA"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0CF4CE73" w14:textId="0A129D4F"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Canadian IG Credit</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26A0DC68" w14:textId="6286E56E"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XCB.TO</w:t>
            </w:r>
          </w:p>
        </w:tc>
        <w:tc>
          <w:tcPr>
            <w:tcW w:w="1322" w:type="dxa"/>
            <w:tcBorders>
              <w:top w:val="single" w:sz="4" w:space="0" w:color="459BBC"/>
              <w:left w:val="dotDotDash" w:sz="4" w:space="0" w:color="459BBC"/>
              <w:bottom w:val="single" w:sz="4" w:space="0" w:color="459BBC"/>
            </w:tcBorders>
            <w:noWrap/>
            <w:vAlign w:val="center"/>
            <w:hideMark/>
          </w:tcPr>
          <w:p w14:paraId="04345854" w14:textId="36E8600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1.05%</w:t>
            </w:r>
          </w:p>
        </w:tc>
        <w:tc>
          <w:tcPr>
            <w:tcW w:w="1322" w:type="dxa"/>
            <w:tcBorders>
              <w:top w:val="single" w:sz="4" w:space="0" w:color="459BBC"/>
              <w:bottom w:val="single" w:sz="4" w:space="0" w:color="459BBC"/>
            </w:tcBorders>
            <w:noWrap/>
            <w:vAlign w:val="center"/>
            <w:hideMark/>
          </w:tcPr>
          <w:p w14:paraId="672D3A1F" w14:textId="0BB7F68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2.89%</w:t>
            </w:r>
          </w:p>
        </w:tc>
        <w:tc>
          <w:tcPr>
            <w:tcW w:w="1323" w:type="dxa"/>
            <w:tcBorders>
              <w:top w:val="single" w:sz="4" w:space="0" w:color="459BBC"/>
              <w:bottom w:val="single" w:sz="4" w:space="0" w:color="459BBC"/>
            </w:tcBorders>
            <w:noWrap/>
            <w:vAlign w:val="center"/>
            <w:hideMark/>
          </w:tcPr>
          <w:p w14:paraId="4D1BAC86" w14:textId="2B799606"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6.75%</w:t>
            </w:r>
          </w:p>
        </w:tc>
        <w:tc>
          <w:tcPr>
            <w:tcW w:w="1322" w:type="dxa"/>
            <w:tcBorders>
              <w:top w:val="single" w:sz="4" w:space="0" w:color="459BBC"/>
              <w:bottom w:val="single" w:sz="4" w:space="0" w:color="459BBC"/>
            </w:tcBorders>
            <w:noWrap/>
            <w:vAlign w:val="center"/>
            <w:hideMark/>
          </w:tcPr>
          <w:p w14:paraId="39B674C9" w14:textId="727D3D1E"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7.43%</w:t>
            </w:r>
          </w:p>
        </w:tc>
        <w:tc>
          <w:tcPr>
            <w:tcW w:w="1322" w:type="dxa"/>
            <w:tcBorders>
              <w:top w:val="single" w:sz="4" w:space="0" w:color="459BBC"/>
              <w:bottom w:val="single" w:sz="4" w:space="0" w:color="459BBC"/>
            </w:tcBorders>
            <w:noWrap/>
            <w:vAlign w:val="center"/>
            <w:hideMark/>
          </w:tcPr>
          <w:p w14:paraId="27AB1046" w14:textId="499E990A"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1.96%</w:t>
            </w:r>
          </w:p>
        </w:tc>
        <w:tc>
          <w:tcPr>
            <w:tcW w:w="1323" w:type="dxa"/>
            <w:tcBorders>
              <w:top w:val="single" w:sz="4" w:space="0" w:color="459BBC"/>
              <w:bottom w:val="single" w:sz="4" w:space="0" w:color="459BBC"/>
              <w:right w:val="single" w:sz="4" w:space="0" w:color="459BBC"/>
            </w:tcBorders>
            <w:noWrap/>
            <w:vAlign w:val="center"/>
            <w:hideMark/>
          </w:tcPr>
          <w:p w14:paraId="689C0B51" w14:textId="6461F942"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3.08%</w:t>
            </w:r>
          </w:p>
        </w:tc>
      </w:tr>
      <w:tr w:rsidR="004C5D30" w:rsidRPr="00F247E1" w14:paraId="66E8368E"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4AE2DAC9" w14:textId="0CBB8BAF"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US Long Term Treasury Bonds</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7BF027A2" w14:textId="6B2E6A26"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TLT</w:t>
            </w:r>
          </w:p>
        </w:tc>
        <w:tc>
          <w:tcPr>
            <w:tcW w:w="1322" w:type="dxa"/>
            <w:tcBorders>
              <w:top w:val="single" w:sz="4" w:space="0" w:color="459BBC"/>
              <w:left w:val="dotDotDash" w:sz="4" w:space="0" w:color="459BBC"/>
              <w:bottom w:val="single" w:sz="4" w:space="0" w:color="459BBC"/>
            </w:tcBorders>
            <w:noWrap/>
            <w:vAlign w:val="center"/>
            <w:hideMark/>
          </w:tcPr>
          <w:p w14:paraId="472D7128" w14:textId="1DA4570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1.38%</w:t>
            </w:r>
          </w:p>
        </w:tc>
        <w:tc>
          <w:tcPr>
            <w:tcW w:w="1322" w:type="dxa"/>
            <w:tcBorders>
              <w:top w:val="single" w:sz="4" w:space="0" w:color="459BBC"/>
              <w:bottom w:val="single" w:sz="4" w:space="0" w:color="459BBC"/>
            </w:tcBorders>
            <w:noWrap/>
            <w:vAlign w:val="center"/>
            <w:hideMark/>
          </w:tcPr>
          <w:p w14:paraId="355AD663" w14:textId="44AAAF22"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5.04%</w:t>
            </w:r>
          </w:p>
        </w:tc>
        <w:tc>
          <w:tcPr>
            <w:tcW w:w="1323" w:type="dxa"/>
            <w:tcBorders>
              <w:top w:val="single" w:sz="4" w:space="0" w:color="459BBC"/>
              <w:bottom w:val="single" w:sz="4" w:space="0" w:color="459BBC"/>
            </w:tcBorders>
            <w:noWrap/>
            <w:vAlign w:val="center"/>
            <w:hideMark/>
          </w:tcPr>
          <w:p w14:paraId="78DF590C" w14:textId="630D892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1.98%</w:t>
            </w:r>
          </w:p>
        </w:tc>
        <w:tc>
          <w:tcPr>
            <w:tcW w:w="1322" w:type="dxa"/>
            <w:tcBorders>
              <w:top w:val="single" w:sz="4" w:space="0" w:color="459BBC"/>
              <w:bottom w:val="single" w:sz="4" w:space="0" w:color="459BBC"/>
            </w:tcBorders>
            <w:noWrap/>
            <w:vAlign w:val="center"/>
            <w:hideMark/>
          </w:tcPr>
          <w:p w14:paraId="2B680D55" w14:textId="1953D39F"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1.74%</w:t>
            </w:r>
          </w:p>
        </w:tc>
        <w:tc>
          <w:tcPr>
            <w:tcW w:w="1322" w:type="dxa"/>
            <w:tcBorders>
              <w:top w:val="single" w:sz="4" w:space="0" w:color="459BBC"/>
              <w:bottom w:val="single" w:sz="4" w:space="0" w:color="459BBC"/>
            </w:tcBorders>
            <w:noWrap/>
            <w:vAlign w:val="center"/>
            <w:hideMark/>
          </w:tcPr>
          <w:p w14:paraId="51D445FA" w14:textId="216EF6EE"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FF0000"/>
                <w:sz w:val="20"/>
                <w:szCs w:val="20"/>
              </w:rPr>
              <w:t>(7.84%)</w:t>
            </w:r>
          </w:p>
        </w:tc>
        <w:tc>
          <w:tcPr>
            <w:tcW w:w="1323" w:type="dxa"/>
            <w:tcBorders>
              <w:top w:val="single" w:sz="4" w:space="0" w:color="459BBC"/>
              <w:bottom w:val="single" w:sz="4" w:space="0" w:color="459BBC"/>
              <w:right w:val="single" w:sz="4" w:space="0" w:color="459BBC"/>
            </w:tcBorders>
            <w:noWrap/>
            <w:vAlign w:val="center"/>
            <w:hideMark/>
          </w:tcPr>
          <w:p w14:paraId="578D6854" w14:textId="632A8B5F"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FF0000"/>
                <w:sz w:val="20"/>
                <w:szCs w:val="20"/>
              </w:rPr>
              <w:t>(0.42%)</w:t>
            </w:r>
          </w:p>
        </w:tc>
      </w:tr>
      <w:tr w:rsidR="004C5D30" w:rsidRPr="00F247E1" w14:paraId="609A75DA"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7581CFD5" w14:textId="491F7960"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Canadian Dollar</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100F0DF3" w14:textId="6CBAE2BE"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FXC</w:t>
            </w:r>
          </w:p>
        </w:tc>
        <w:tc>
          <w:tcPr>
            <w:tcW w:w="1322" w:type="dxa"/>
            <w:tcBorders>
              <w:top w:val="single" w:sz="4" w:space="0" w:color="459BBC"/>
              <w:left w:val="dotDotDash" w:sz="4" w:space="0" w:color="459BBC"/>
              <w:bottom w:val="single" w:sz="4" w:space="0" w:color="459BBC"/>
            </w:tcBorders>
            <w:noWrap/>
            <w:vAlign w:val="center"/>
            <w:hideMark/>
          </w:tcPr>
          <w:p w14:paraId="2C96E896" w14:textId="736F2D09"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FF0000"/>
                <w:sz w:val="20"/>
                <w:szCs w:val="20"/>
              </w:rPr>
              <w:t>(0.80%)</w:t>
            </w:r>
          </w:p>
        </w:tc>
        <w:tc>
          <w:tcPr>
            <w:tcW w:w="1322" w:type="dxa"/>
            <w:tcBorders>
              <w:top w:val="single" w:sz="4" w:space="0" w:color="459BBC"/>
              <w:bottom w:val="single" w:sz="4" w:space="0" w:color="459BBC"/>
            </w:tcBorders>
            <w:noWrap/>
            <w:vAlign w:val="center"/>
            <w:hideMark/>
          </w:tcPr>
          <w:p w14:paraId="34659D02" w14:textId="5A5F1A15"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FF0000"/>
                <w:sz w:val="20"/>
                <w:szCs w:val="20"/>
              </w:rPr>
              <w:t>(1.19%)</w:t>
            </w:r>
          </w:p>
        </w:tc>
        <w:tc>
          <w:tcPr>
            <w:tcW w:w="1323" w:type="dxa"/>
            <w:tcBorders>
              <w:top w:val="single" w:sz="4" w:space="0" w:color="459BBC"/>
              <w:bottom w:val="single" w:sz="4" w:space="0" w:color="459BBC"/>
            </w:tcBorders>
            <w:noWrap/>
            <w:vAlign w:val="center"/>
            <w:hideMark/>
          </w:tcPr>
          <w:p w14:paraId="39451963" w14:textId="61946F8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FF0000"/>
                <w:sz w:val="20"/>
                <w:szCs w:val="20"/>
              </w:rPr>
              <w:t>(0.15%)</w:t>
            </w:r>
          </w:p>
        </w:tc>
        <w:tc>
          <w:tcPr>
            <w:tcW w:w="1322" w:type="dxa"/>
            <w:tcBorders>
              <w:top w:val="single" w:sz="4" w:space="0" w:color="459BBC"/>
              <w:bottom w:val="single" w:sz="4" w:space="0" w:color="459BBC"/>
            </w:tcBorders>
            <w:noWrap/>
            <w:vAlign w:val="center"/>
            <w:hideMark/>
          </w:tcPr>
          <w:p w14:paraId="2AEBC5A1" w14:textId="3FEA398D"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0.49%</w:t>
            </w:r>
          </w:p>
        </w:tc>
        <w:tc>
          <w:tcPr>
            <w:tcW w:w="1322" w:type="dxa"/>
            <w:tcBorders>
              <w:top w:val="single" w:sz="4" w:space="0" w:color="459BBC"/>
              <w:bottom w:val="single" w:sz="4" w:space="0" w:color="459BBC"/>
            </w:tcBorders>
            <w:noWrap/>
            <w:vAlign w:val="center"/>
            <w:hideMark/>
          </w:tcPr>
          <w:p w14:paraId="32098316" w14:textId="59E8D255"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FF0000"/>
                <w:sz w:val="20"/>
                <w:szCs w:val="20"/>
              </w:rPr>
              <w:t>(0.25%)</w:t>
            </w:r>
          </w:p>
        </w:tc>
        <w:tc>
          <w:tcPr>
            <w:tcW w:w="1323" w:type="dxa"/>
            <w:tcBorders>
              <w:top w:val="single" w:sz="4" w:space="0" w:color="459BBC"/>
              <w:bottom w:val="single" w:sz="4" w:space="0" w:color="459BBC"/>
              <w:right w:val="single" w:sz="4" w:space="0" w:color="459BBC"/>
            </w:tcBorders>
            <w:noWrap/>
            <w:vAlign w:val="center"/>
            <w:hideMark/>
          </w:tcPr>
          <w:p w14:paraId="31F6B56A" w14:textId="69EA94DD"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FF0000"/>
                <w:sz w:val="20"/>
                <w:szCs w:val="20"/>
              </w:rPr>
              <w:t>(0.26%)</w:t>
            </w:r>
          </w:p>
        </w:tc>
      </w:tr>
      <w:tr w:rsidR="004C5D30" w:rsidRPr="00F247E1" w14:paraId="48B18197" w14:textId="77777777" w:rsidTr="004C5D30">
        <w:trPr>
          <w:trHeight w:val="341"/>
        </w:trPr>
        <w:tc>
          <w:tcPr>
            <w:tcW w:w="5129" w:type="dxa"/>
            <w:tcBorders>
              <w:top w:val="single" w:sz="4" w:space="0" w:color="459BBC"/>
              <w:left w:val="single" w:sz="4" w:space="0" w:color="459BBC"/>
              <w:bottom w:val="single" w:sz="4" w:space="0" w:color="459BBC"/>
              <w:right w:val="dotDotDash" w:sz="4" w:space="0" w:color="459BBC"/>
            </w:tcBorders>
            <w:noWrap/>
            <w:vAlign w:val="center"/>
            <w:hideMark/>
          </w:tcPr>
          <w:p w14:paraId="20A81DF0" w14:textId="32D9AC20" w:rsidR="004C5D30" w:rsidRPr="004D59BB" w:rsidRDefault="004C5D30" w:rsidP="004C5D30">
            <w:pPr>
              <w:rPr>
                <w:rFonts w:ascii="Open Sans" w:hAnsi="Open Sans" w:cs="Open Sans"/>
                <w:color w:val="000000"/>
                <w:sz w:val="20"/>
                <w:szCs w:val="20"/>
              </w:rPr>
            </w:pPr>
            <w:r w:rsidRPr="004D59BB">
              <w:rPr>
                <w:rFonts w:ascii="Open Sans" w:hAnsi="Open Sans" w:cs="Open Sans"/>
                <w:color w:val="000000"/>
                <w:sz w:val="20"/>
                <w:szCs w:val="20"/>
              </w:rPr>
              <w:t xml:space="preserve">Hedge Funds </w:t>
            </w:r>
          </w:p>
        </w:tc>
        <w:tc>
          <w:tcPr>
            <w:tcW w:w="1322" w:type="dxa"/>
            <w:tcBorders>
              <w:top w:val="single" w:sz="4" w:space="0" w:color="459BBC"/>
              <w:left w:val="dotDotDash" w:sz="4" w:space="0" w:color="459BBC"/>
              <w:bottom w:val="single" w:sz="4" w:space="0" w:color="459BBC"/>
              <w:right w:val="dotDotDash" w:sz="4" w:space="0" w:color="459BBC"/>
            </w:tcBorders>
            <w:noWrap/>
            <w:vAlign w:val="center"/>
            <w:hideMark/>
          </w:tcPr>
          <w:p w14:paraId="6C914FAF" w14:textId="04681E37" w:rsidR="004C5D30" w:rsidRPr="004D59BB" w:rsidRDefault="004C5D30" w:rsidP="004C5D30">
            <w:pPr>
              <w:jc w:val="center"/>
              <w:rPr>
                <w:rFonts w:ascii="Open Sans" w:hAnsi="Open Sans" w:cs="Open Sans"/>
                <w:color w:val="000000"/>
                <w:sz w:val="20"/>
                <w:szCs w:val="20"/>
              </w:rPr>
            </w:pPr>
            <w:r w:rsidRPr="004D59BB">
              <w:rPr>
                <w:rFonts w:ascii="Open Sans" w:hAnsi="Open Sans" w:cs="Open Sans"/>
                <w:color w:val="000000"/>
                <w:sz w:val="20"/>
                <w:szCs w:val="20"/>
              </w:rPr>
              <w:t>QAI</w:t>
            </w:r>
          </w:p>
        </w:tc>
        <w:tc>
          <w:tcPr>
            <w:tcW w:w="1322" w:type="dxa"/>
            <w:tcBorders>
              <w:top w:val="single" w:sz="4" w:space="0" w:color="459BBC"/>
              <w:left w:val="dotDotDash" w:sz="4" w:space="0" w:color="459BBC"/>
              <w:bottom w:val="single" w:sz="4" w:space="0" w:color="459BBC"/>
            </w:tcBorders>
            <w:noWrap/>
            <w:vAlign w:val="center"/>
            <w:hideMark/>
          </w:tcPr>
          <w:p w14:paraId="1DAAE210" w14:textId="17AEB84E"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0.69%</w:t>
            </w:r>
          </w:p>
        </w:tc>
        <w:tc>
          <w:tcPr>
            <w:tcW w:w="1322" w:type="dxa"/>
            <w:tcBorders>
              <w:top w:val="single" w:sz="4" w:space="0" w:color="459BBC"/>
              <w:bottom w:val="single" w:sz="4" w:space="0" w:color="459BBC"/>
            </w:tcBorders>
            <w:noWrap/>
            <w:vAlign w:val="center"/>
            <w:hideMark/>
          </w:tcPr>
          <w:p w14:paraId="3FAF5275" w14:textId="24E15943"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4.07%</w:t>
            </w:r>
          </w:p>
        </w:tc>
        <w:tc>
          <w:tcPr>
            <w:tcW w:w="1323" w:type="dxa"/>
            <w:tcBorders>
              <w:top w:val="single" w:sz="4" w:space="0" w:color="459BBC"/>
              <w:bottom w:val="single" w:sz="4" w:space="0" w:color="459BBC"/>
            </w:tcBorders>
            <w:noWrap/>
            <w:vAlign w:val="center"/>
            <w:hideMark/>
          </w:tcPr>
          <w:p w14:paraId="43FB39C1" w14:textId="742A1968" w:rsidR="004C5D30" w:rsidRPr="004C5D30" w:rsidRDefault="004C5D30" w:rsidP="004C5D30">
            <w:pPr>
              <w:jc w:val="center"/>
              <w:rPr>
                <w:rFonts w:ascii="Open Sans" w:eastAsia="Open Sans" w:hAnsi="Open Sans" w:cs="Open Sans"/>
                <w:color w:val="FF0000"/>
                <w:sz w:val="20"/>
                <w:szCs w:val="20"/>
              </w:rPr>
            </w:pPr>
            <w:r w:rsidRPr="004C5D30">
              <w:rPr>
                <w:rFonts w:ascii="Open Sans" w:hAnsi="Open Sans" w:cs="Open Sans"/>
                <w:color w:val="000000"/>
                <w:sz w:val="20"/>
                <w:szCs w:val="20"/>
              </w:rPr>
              <w:t>8.55%</w:t>
            </w:r>
          </w:p>
        </w:tc>
        <w:tc>
          <w:tcPr>
            <w:tcW w:w="1322" w:type="dxa"/>
            <w:tcBorders>
              <w:top w:val="single" w:sz="4" w:space="0" w:color="459BBC"/>
              <w:bottom w:val="single" w:sz="4" w:space="0" w:color="459BBC"/>
            </w:tcBorders>
            <w:noWrap/>
            <w:vAlign w:val="center"/>
            <w:hideMark/>
          </w:tcPr>
          <w:p w14:paraId="17E3867E" w14:textId="0E1DA238"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9.29%</w:t>
            </w:r>
          </w:p>
        </w:tc>
        <w:tc>
          <w:tcPr>
            <w:tcW w:w="1322" w:type="dxa"/>
            <w:tcBorders>
              <w:top w:val="single" w:sz="4" w:space="0" w:color="459BBC"/>
              <w:bottom w:val="single" w:sz="4" w:space="0" w:color="459BBC"/>
            </w:tcBorders>
            <w:noWrap/>
            <w:vAlign w:val="center"/>
            <w:hideMark/>
          </w:tcPr>
          <w:p w14:paraId="0EAB6066" w14:textId="21E50680"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4.03%</w:t>
            </w:r>
          </w:p>
        </w:tc>
        <w:tc>
          <w:tcPr>
            <w:tcW w:w="1323" w:type="dxa"/>
            <w:tcBorders>
              <w:top w:val="single" w:sz="4" w:space="0" w:color="459BBC"/>
              <w:bottom w:val="single" w:sz="4" w:space="0" w:color="459BBC"/>
              <w:right w:val="single" w:sz="4" w:space="0" w:color="459BBC"/>
            </w:tcBorders>
            <w:noWrap/>
            <w:vAlign w:val="center"/>
            <w:hideMark/>
          </w:tcPr>
          <w:p w14:paraId="5F9DED9D" w14:textId="6A373344" w:rsidR="004C5D30" w:rsidRPr="004C5D30" w:rsidRDefault="004C5D30" w:rsidP="004C5D30">
            <w:pPr>
              <w:jc w:val="center"/>
              <w:rPr>
                <w:rFonts w:ascii="Open Sans" w:eastAsia="Open Sans" w:hAnsi="Open Sans" w:cs="Open Sans"/>
                <w:color w:val="000000"/>
                <w:sz w:val="20"/>
                <w:szCs w:val="20"/>
              </w:rPr>
            </w:pPr>
            <w:r w:rsidRPr="004C5D30">
              <w:rPr>
                <w:rFonts w:ascii="Open Sans" w:hAnsi="Open Sans" w:cs="Open Sans"/>
                <w:color w:val="000000"/>
                <w:sz w:val="20"/>
                <w:szCs w:val="20"/>
              </w:rPr>
              <w:t>3.05%</w:t>
            </w:r>
          </w:p>
        </w:tc>
      </w:tr>
    </w:tbl>
    <w:p w14:paraId="289E5F35" w14:textId="77777777" w:rsidR="00686A7D" w:rsidRPr="00A05E68" w:rsidRDefault="00686A7D" w:rsidP="00790527">
      <w:pPr>
        <w:rPr>
          <w:rFonts w:ascii="Open Sans" w:hAnsi="Open Sans" w:cs="Open Sans"/>
          <w:color w:val="7F7F7F"/>
          <w:sz w:val="15"/>
          <w:szCs w:val="15"/>
        </w:rPr>
      </w:pPr>
    </w:p>
    <w:p w14:paraId="32C01477" w14:textId="77777777" w:rsidR="001A3DCA" w:rsidRPr="001A3DCA" w:rsidRDefault="00790527" w:rsidP="001A3DCA">
      <w:pPr>
        <w:rPr>
          <w:rFonts w:ascii="Open Sans" w:hAnsi="Open Sans" w:cs="Open Sans"/>
          <w:color w:val="7F7F7F"/>
          <w:sz w:val="13"/>
          <w:szCs w:val="13"/>
        </w:rPr>
      </w:pPr>
      <w:r w:rsidRPr="001A3DCA">
        <w:rPr>
          <w:rFonts w:ascii="Open Sans" w:hAnsi="Open Sans" w:cs="Open Sans"/>
          <w:color w:val="7F7F7F"/>
          <w:sz w:val="13"/>
          <w:szCs w:val="13"/>
        </w:rPr>
        <w:t>Source</w:t>
      </w:r>
      <w:r w:rsidR="004B005F" w:rsidRPr="001A3DCA">
        <w:rPr>
          <w:rFonts w:ascii="Open Sans" w:hAnsi="Open Sans" w:cs="Open Sans"/>
          <w:color w:val="7F7F7F"/>
          <w:sz w:val="13"/>
          <w:szCs w:val="13"/>
        </w:rPr>
        <w:t xml:space="preserve"> and Notes</w:t>
      </w:r>
      <w:r w:rsidRPr="001A3DCA">
        <w:rPr>
          <w:rFonts w:ascii="Open Sans" w:hAnsi="Open Sans" w:cs="Open Sans"/>
          <w:color w:val="7F7F7F"/>
          <w:sz w:val="13"/>
          <w:szCs w:val="13"/>
        </w:rPr>
        <w:t xml:space="preserve">: </w:t>
      </w:r>
    </w:p>
    <w:p w14:paraId="4AB45ECC" w14:textId="117F62E0" w:rsidR="001A3DCA" w:rsidRPr="001A3DCA" w:rsidRDefault="001A3DCA" w:rsidP="001A3DCA">
      <w:pPr>
        <w:rPr>
          <w:rFonts w:ascii="Open Sans" w:hAnsi="Open Sans" w:cs="Open Sans"/>
          <w:color w:val="7F7F7F"/>
          <w:sz w:val="13"/>
          <w:szCs w:val="13"/>
        </w:rPr>
      </w:pPr>
      <w:r w:rsidRPr="001A3DCA">
        <w:rPr>
          <w:rFonts w:ascii="Open Sans" w:hAnsi="Open Sans" w:cs="Open Sans"/>
          <w:color w:val="7F7F7F"/>
          <w:sz w:val="13"/>
          <w:szCs w:val="13"/>
        </w:rPr>
        <w:t>Return calculations performed by Anchor Pacific using FLARE</w:t>
      </w:r>
      <w:r w:rsidRPr="001A3DCA">
        <w:rPr>
          <w:rFonts w:ascii="Open Sans" w:hAnsi="Open Sans" w:cs="Open Sans"/>
          <w:color w:val="7F7F7F"/>
          <w:sz w:val="13"/>
          <w:szCs w:val="13"/>
          <w:vertAlign w:val="superscript"/>
        </w:rPr>
        <w:t>TM</w:t>
      </w:r>
      <w:r w:rsidRPr="001A3DCA">
        <w:rPr>
          <w:rFonts w:ascii="Open Sans" w:hAnsi="Open Sans" w:cs="Open Sans"/>
          <w:color w:val="7F7F7F"/>
          <w:sz w:val="13"/>
          <w:szCs w:val="13"/>
        </w:rPr>
        <w:t xml:space="preserve"> by Anchor Pacific Financial Risk Labs Ltd. based on monthly values sourced from Yahoo Finance, </w:t>
      </w:r>
      <w:proofErr w:type="spellStart"/>
      <w:r w:rsidRPr="001A3DCA">
        <w:rPr>
          <w:rFonts w:ascii="Open Sans" w:hAnsi="Open Sans" w:cs="Open Sans"/>
          <w:color w:val="7F7F7F"/>
          <w:sz w:val="13"/>
          <w:szCs w:val="13"/>
        </w:rPr>
        <w:t>QuoteMedia</w:t>
      </w:r>
      <w:proofErr w:type="spellEnd"/>
      <w:r w:rsidRPr="001A3DCA">
        <w:rPr>
          <w:rFonts w:ascii="Open Sans" w:hAnsi="Open Sans" w:cs="Open Sans"/>
          <w:color w:val="7F7F7F"/>
          <w:sz w:val="13"/>
          <w:szCs w:val="13"/>
        </w:rPr>
        <w:t xml:space="preserve">, and </w:t>
      </w:r>
      <w:proofErr w:type="spellStart"/>
      <w:r w:rsidRPr="001A3DCA">
        <w:rPr>
          <w:rFonts w:ascii="Open Sans" w:hAnsi="Open Sans" w:cs="Open Sans"/>
          <w:color w:val="7F7F7F"/>
          <w:sz w:val="13"/>
          <w:szCs w:val="13"/>
        </w:rPr>
        <w:t>Fundata</w:t>
      </w:r>
      <w:proofErr w:type="spellEnd"/>
      <w:r w:rsidRPr="001A3DCA">
        <w:rPr>
          <w:rFonts w:ascii="Open Sans" w:hAnsi="Open Sans" w:cs="Open Sans"/>
          <w:color w:val="7F7F7F"/>
          <w:sz w:val="13"/>
          <w:szCs w:val="13"/>
        </w:rPr>
        <w:t>.  All returns greater than one month assume reinvestment of dividends. </w:t>
      </w:r>
    </w:p>
    <w:p w14:paraId="5CD34FE7" w14:textId="77777777" w:rsidR="001A3DCA" w:rsidRPr="001A3DCA" w:rsidRDefault="001A3DCA" w:rsidP="001A3DCA">
      <w:pPr>
        <w:pStyle w:val="paragraph"/>
        <w:spacing w:before="0" w:beforeAutospacing="0" w:after="0" w:afterAutospacing="0"/>
        <w:textAlignment w:val="baseline"/>
        <w:rPr>
          <w:rFonts w:ascii="Open Sans" w:hAnsi="Open Sans" w:cs="Open Sans"/>
          <w:color w:val="7F7F7F"/>
          <w:sz w:val="13"/>
          <w:szCs w:val="13"/>
          <w:lang w:val="en-US" w:eastAsia="en-US"/>
        </w:rPr>
      </w:pPr>
      <w:r w:rsidRPr="001A3DCA">
        <w:rPr>
          <w:rFonts w:ascii="Open Sans" w:hAnsi="Open Sans" w:cs="Open Sans"/>
          <w:color w:val="7F7F7F"/>
          <w:sz w:val="13"/>
          <w:szCs w:val="13"/>
          <w:lang w:eastAsia="en-US"/>
        </w:rPr>
        <w:t>Risk measures the annualized standard deviation of monthly returns for 5 years based on the above data.</w:t>
      </w:r>
      <w:r w:rsidRPr="001A3DCA">
        <w:rPr>
          <w:rFonts w:ascii="Open Sans" w:hAnsi="Open Sans" w:cs="Open Sans"/>
          <w:color w:val="7F7F7F"/>
          <w:sz w:val="13"/>
          <w:szCs w:val="13"/>
          <w:lang w:val="en-US" w:eastAsia="en-US"/>
        </w:rPr>
        <w:t> </w:t>
      </w:r>
    </w:p>
    <w:p w14:paraId="621E8371" w14:textId="14AD70F6" w:rsidR="001A3DCA" w:rsidRPr="001A3DCA" w:rsidRDefault="001A3DCA" w:rsidP="001A3DCA">
      <w:pPr>
        <w:pStyle w:val="paragraph"/>
        <w:spacing w:before="0" w:beforeAutospacing="0" w:after="0" w:afterAutospacing="0"/>
        <w:textAlignment w:val="baseline"/>
        <w:rPr>
          <w:rFonts w:ascii="Open Sans" w:hAnsi="Open Sans" w:cs="Open Sans"/>
          <w:color w:val="7F7F7F"/>
          <w:sz w:val="13"/>
          <w:szCs w:val="13"/>
          <w:lang w:val="en-US" w:eastAsia="en-US"/>
        </w:rPr>
      </w:pPr>
      <w:r w:rsidRPr="001A3DCA">
        <w:rPr>
          <w:rFonts w:ascii="Open Sans" w:hAnsi="Open Sans" w:cs="Open Sans"/>
          <w:color w:val="7F7F7F"/>
          <w:sz w:val="13"/>
          <w:szCs w:val="13"/>
          <w:lang w:eastAsia="en-US"/>
        </w:rPr>
        <w:t>Returns are US$ for SPY, IWM, VEA, VWO, GSG, TIP, AGG, JNK, LQD, TLT, FXC, QAI, and VNQ.</w:t>
      </w:r>
      <w:r w:rsidRPr="001A3DCA">
        <w:rPr>
          <w:color w:val="7F7F7F"/>
          <w:sz w:val="13"/>
          <w:szCs w:val="13"/>
          <w:lang w:eastAsia="en-US"/>
        </w:rPr>
        <w:t> </w:t>
      </w:r>
      <w:r w:rsidRPr="001A3DCA">
        <w:rPr>
          <w:rFonts w:ascii="Open Sans" w:hAnsi="Open Sans" w:cs="Open Sans"/>
          <w:color w:val="7F7F7F"/>
          <w:sz w:val="13"/>
          <w:szCs w:val="13"/>
          <w:lang w:eastAsia="en-US"/>
        </w:rPr>
        <w:t xml:space="preserve"> Returns are C$ for XUS.TO, XIC.TO, VI.TO, VEE.TO, XBB.TO, and XCB.TO.</w:t>
      </w:r>
      <w:r w:rsidRPr="001A3DCA">
        <w:rPr>
          <w:color w:val="7F7F7F"/>
          <w:sz w:val="13"/>
          <w:szCs w:val="13"/>
          <w:lang w:eastAsia="en-US"/>
        </w:rPr>
        <w:t> </w:t>
      </w:r>
      <w:r w:rsidRPr="001A3DCA">
        <w:rPr>
          <w:rFonts w:ascii="Open Sans" w:hAnsi="Open Sans" w:cs="Open Sans"/>
          <w:color w:val="7F7F7F"/>
          <w:sz w:val="13"/>
          <w:szCs w:val="13"/>
          <w:lang w:eastAsia="en-US"/>
        </w:rPr>
        <w:t>Please see disclaimer for further details.</w:t>
      </w:r>
      <w:r w:rsidRPr="001A3DCA">
        <w:rPr>
          <w:rFonts w:ascii="Open Sans" w:hAnsi="Open Sans" w:cs="Open Sans"/>
          <w:color w:val="7F7F7F"/>
          <w:sz w:val="13"/>
          <w:szCs w:val="13"/>
          <w:lang w:val="en-US" w:eastAsia="en-US"/>
        </w:rPr>
        <w:t> </w:t>
      </w:r>
    </w:p>
    <w:p w14:paraId="0A1EE016" w14:textId="7AB96D4B" w:rsidR="00991583" w:rsidRDefault="004C5D30" w:rsidP="00AC76F5">
      <w:pPr>
        <w:jc w:val="center"/>
      </w:pPr>
      <w:r>
        <w:rPr>
          <w:noProof/>
        </w:rPr>
        <w:lastRenderedPageBreak/>
        <w:drawing>
          <wp:inline distT="0" distB="0" distL="0" distR="0" wp14:anchorId="4D7DCE46" wp14:editId="2753D57F">
            <wp:extent cx="8877000" cy="5905406"/>
            <wp:effectExtent l="0" t="0" r="635" b="635"/>
            <wp:docPr id="16472007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04230" cy="5923521"/>
                    </a:xfrm>
                    <a:prstGeom prst="rect">
                      <a:avLst/>
                    </a:prstGeom>
                    <a:noFill/>
                  </pic:spPr>
                </pic:pic>
              </a:graphicData>
            </a:graphic>
          </wp:inline>
        </w:drawing>
      </w:r>
    </w:p>
    <w:p w14:paraId="12A25A1F" w14:textId="7D1C8B3C" w:rsidR="00643BCD" w:rsidRDefault="00643BCD" w:rsidP="00643BCD">
      <w:pPr>
        <w:rPr>
          <w:sz w:val="4"/>
          <w:szCs w:val="4"/>
        </w:rPr>
      </w:pPr>
    </w:p>
    <w:p w14:paraId="4B16829E" w14:textId="399DD11F" w:rsidR="00643BCD" w:rsidRDefault="00643BCD" w:rsidP="00643BCD">
      <w:pPr>
        <w:rPr>
          <w:sz w:val="4"/>
          <w:szCs w:val="4"/>
        </w:rPr>
      </w:pPr>
    </w:p>
    <w:p w14:paraId="766C7769" w14:textId="3A2DFF97" w:rsidR="00643BCD" w:rsidRDefault="00643BCD" w:rsidP="00643BCD">
      <w:pPr>
        <w:rPr>
          <w:sz w:val="4"/>
          <w:szCs w:val="4"/>
        </w:rPr>
      </w:pPr>
    </w:p>
    <w:p w14:paraId="11B314DB" w14:textId="1E33D699" w:rsidR="00643BCD" w:rsidRDefault="00643BCD" w:rsidP="00643BCD">
      <w:pPr>
        <w:rPr>
          <w:sz w:val="4"/>
          <w:szCs w:val="4"/>
        </w:rPr>
      </w:pPr>
    </w:p>
    <w:p w14:paraId="45BC7889" w14:textId="6A68E826" w:rsidR="00643BCD" w:rsidRDefault="00643BCD" w:rsidP="00643BCD">
      <w:pPr>
        <w:rPr>
          <w:sz w:val="4"/>
          <w:szCs w:val="4"/>
        </w:rPr>
      </w:pPr>
    </w:p>
    <w:p w14:paraId="559EE57A" w14:textId="4BD653D5" w:rsidR="00643BCD" w:rsidRDefault="00643BCD" w:rsidP="00643BCD">
      <w:pPr>
        <w:rPr>
          <w:sz w:val="4"/>
          <w:szCs w:val="4"/>
        </w:rPr>
      </w:pPr>
    </w:p>
    <w:p w14:paraId="785AFC66" w14:textId="5591D615" w:rsidR="00643BCD" w:rsidRDefault="00643BCD" w:rsidP="00643BCD">
      <w:pPr>
        <w:rPr>
          <w:sz w:val="4"/>
          <w:szCs w:val="4"/>
        </w:rPr>
      </w:pPr>
    </w:p>
    <w:p w14:paraId="56CEB560" w14:textId="5311043B" w:rsidR="00643BCD" w:rsidRDefault="00643BCD" w:rsidP="00643BCD">
      <w:pPr>
        <w:rPr>
          <w:sz w:val="4"/>
          <w:szCs w:val="4"/>
        </w:rPr>
      </w:pPr>
    </w:p>
    <w:p w14:paraId="4EDC3BE6" w14:textId="71F2D90B" w:rsidR="00643BCD" w:rsidRDefault="00643BCD" w:rsidP="00643BCD">
      <w:pPr>
        <w:rPr>
          <w:sz w:val="4"/>
          <w:szCs w:val="4"/>
        </w:rPr>
      </w:pPr>
    </w:p>
    <w:p w14:paraId="0C7D69D2" w14:textId="42514347" w:rsidR="00643BCD" w:rsidRDefault="00643BCD" w:rsidP="00643BCD">
      <w:pPr>
        <w:rPr>
          <w:sz w:val="4"/>
          <w:szCs w:val="4"/>
        </w:rPr>
      </w:pPr>
    </w:p>
    <w:p w14:paraId="428ED827" w14:textId="7D073671" w:rsidR="00643BCD" w:rsidRDefault="00643BCD" w:rsidP="00643BCD">
      <w:pPr>
        <w:rPr>
          <w:sz w:val="4"/>
          <w:szCs w:val="4"/>
        </w:rPr>
      </w:pPr>
    </w:p>
    <w:p w14:paraId="18C08AEF" w14:textId="77777777" w:rsidR="00643BCD" w:rsidRPr="00643BCD" w:rsidRDefault="00643BCD" w:rsidP="00643BCD">
      <w:pPr>
        <w:rPr>
          <w:sz w:val="4"/>
          <w:szCs w:val="4"/>
        </w:rPr>
      </w:pPr>
    </w:p>
    <w:tbl>
      <w:tblPr>
        <w:tblW w:w="14381" w:type="dxa"/>
        <w:tblLayout w:type="fixed"/>
        <w:tblLook w:val="04A0" w:firstRow="1" w:lastRow="0" w:firstColumn="1" w:lastColumn="0" w:noHBand="0" w:noVBand="1"/>
      </w:tblPr>
      <w:tblGrid>
        <w:gridCol w:w="3835"/>
        <w:gridCol w:w="1171"/>
        <w:gridCol w:w="1172"/>
        <w:gridCol w:w="1172"/>
        <w:gridCol w:w="1172"/>
        <w:gridCol w:w="1171"/>
        <w:gridCol w:w="1172"/>
        <w:gridCol w:w="1172"/>
        <w:gridCol w:w="1146"/>
        <w:gridCol w:w="1198"/>
      </w:tblGrid>
      <w:tr w:rsidR="00A07921" w:rsidRPr="009B536B" w14:paraId="464EF026" w14:textId="77777777" w:rsidTr="2D90E99C">
        <w:trPr>
          <w:trHeight w:val="454"/>
        </w:trPr>
        <w:tc>
          <w:tcPr>
            <w:tcW w:w="14381" w:type="dxa"/>
            <w:gridSpan w:val="10"/>
            <w:tcBorders>
              <w:top w:val="single" w:sz="4" w:space="0" w:color="0C1940"/>
              <w:left w:val="single" w:sz="4" w:space="0" w:color="0C1940"/>
              <w:bottom w:val="single" w:sz="4" w:space="0" w:color="459BBC"/>
              <w:right w:val="single" w:sz="4" w:space="0" w:color="0C1940"/>
            </w:tcBorders>
            <w:shd w:val="clear" w:color="auto" w:fill="0C1840"/>
            <w:noWrap/>
            <w:vAlign w:val="center"/>
            <w:hideMark/>
          </w:tcPr>
          <w:p w14:paraId="237122C0" w14:textId="77777777" w:rsidR="00A07921" w:rsidRPr="00207F8A" w:rsidRDefault="00A07921" w:rsidP="00D1082D">
            <w:pPr>
              <w:rPr>
                <w:rFonts w:ascii="Open Sans" w:hAnsi="Open Sans" w:cs="Open Sans"/>
                <w:b/>
                <w:bCs/>
                <w:color w:val="459BBC"/>
                <w:sz w:val="28"/>
                <w:szCs w:val="28"/>
              </w:rPr>
            </w:pPr>
            <w:r w:rsidRPr="00207F8A">
              <w:rPr>
                <w:rFonts w:ascii="Open Sans" w:hAnsi="Open Sans" w:cs="Open Sans"/>
                <w:b/>
                <w:bCs/>
                <w:color w:val="459BBC"/>
                <w:sz w:val="28"/>
                <w:szCs w:val="28"/>
              </w:rPr>
              <w:t xml:space="preserve">KEY INDEX </w:t>
            </w:r>
            <w:r w:rsidRPr="00207F8A">
              <w:rPr>
                <w:rFonts w:ascii="Open Sans" w:hAnsi="Open Sans" w:cs="Open Sans"/>
                <w:b/>
                <w:bCs/>
                <w:color w:val="459BBC"/>
                <w:sz w:val="28"/>
                <w:szCs w:val="28"/>
                <w:bdr w:val="single" w:sz="4" w:space="0" w:color="0C1940"/>
              </w:rPr>
              <w:t>LEVELS AND RATES</w:t>
            </w:r>
          </w:p>
        </w:tc>
      </w:tr>
      <w:tr w:rsidR="00A07921" w:rsidRPr="009B536B" w14:paraId="7918560C" w14:textId="77777777" w:rsidTr="00B026CA">
        <w:trPr>
          <w:trHeight w:val="701"/>
        </w:trPr>
        <w:tc>
          <w:tcPr>
            <w:tcW w:w="3835"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5D5FB7D2" w14:textId="77777777" w:rsidR="00A07921" w:rsidRPr="00B71423" w:rsidRDefault="00A07921" w:rsidP="00D1082D">
            <w:pP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Index/Security</w:t>
            </w:r>
          </w:p>
        </w:tc>
        <w:tc>
          <w:tcPr>
            <w:tcW w:w="1171"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3C1BE136" w14:textId="7FFC5E5B" w:rsidR="00A07921" w:rsidRPr="00B71423" w:rsidRDefault="004C5D30" w:rsidP="003E4FBA">
            <w:pPr>
              <w:jc w:val="center"/>
              <w:rPr>
                <w:rFonts w:ascii="Open Sans SemiBold" w:hAnsi="Open Sans SemiBold" w:cs="Open Sans SemiBold"/>
                <w:b/>
                <w:bCs/>
                <w:color w:val="FFFFFF" w:themeColor="background1"/>
              </w:rPr>
            </w:pPr>
            <w:r>
              <w:rPr>
                <w:rFonts w:ascii="Open Sans SemiBold" w:hAnsi="Open Sans SemiBold" w:cs="Open Sans SemiBold"/>
                <w:b/>
                <w:bCs/>
                <w:color w:val="FFFFFF" w:themeColor="background1"/>
              </w:rPr>
              <w:t>Oc</w:t>
            </w:r>
            <w:r w:rsidR="00AC76F5">
              <w:rPr>
                <w:rFonts w:ascii="Open Sans SemiBold" w:hAnsi="Open Sans SemiBold" w:cs="Open Sans SemiBold"/>
                <w:b/>
                <w:bCs/>
                <w:color w:val="FFFFFF" w:themeColor="background1"/>
              </w:rPr>
              <w:t>t</w:t>
            </w:r>
            <w:r w:rsidR="006466B8">
              <w:rPr>
                <w:rFonts w:ascii="Open Sans SemiBold" w:hAnsi="Open Sans SemiBold" w:cs="Open Sans SemiBold"/>
                <w:b/>
                <w:bCs/>
                <w:color w:val="FFFFFF" w:themeColor="background1"/>
              </w:rPr>
              <w:t xml:space="preserve"> </w:t>
            </w:r>
            <w:r w:rsidR="00A07921" w:rsidRPr="00B71423">
              <w:rPr>
                <w:rFonts w:ascii="Open Sans SemiBold" w:hAnsi="Open Sans SemiBold" w:cs="Open Sans SemiBold"/>
                <w:b/>
                <w:bCs/>
                <w:color w:val="FFFFFF" w:themeColor="background1"/>
              </w:rPr>
              <w:t>202</w:t>
            </w:r>
            <w:r w:rsidR="00FD7754">
              <w:rPr>
                <w:rFonts w:ascii="Open Sans SemiBold" w:hAnsi="Open Sans SemiBold" w:cs="Open Sans SemiBold"/>
                <w:b/>
                <w:bCs/>
                <w:color w:val="FFFFFF" w:themeColor="background1"/>
              </w:rPr>
              <w:t>5</w:t>
            </w:r>
          </w:p>
        </w:tc>
        <w:tc>
          <w:tcPr>
            <w:tcW w:w="1172"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149B9A01" w14:textId="368CA20E" w:rsidR="00A07921"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1M</w:t>
            </w:r>
          </w:p>
          <w:p w14:paraId="306FD37C" w14:textId="77777777" w:rsidR="00A07921" w:rsidRPr="00B71423" w:rsidRDefault="00A07921" w:rsidP="00250C36">
            <w:pPr>
              <w:jc w:val="center"/>
              <w:rPr>
                <w:rFonts w:ascii="Open Sans SemiBold" w:hAnsi="Open Sans SemiBold" w:cs="Open Sans SemiBold"/>
                <w:b/>
                <w:bCs/>
                <w:color w:val="FFFFFF" w:themeColor="background1"/>
              </w:rPr>
            </w:pPr>
            <w:r>
              <w:rPr>
                <w:rFonts w:ascii="Open Sans SemiBold" w:hAnsi="Open Sans SemiBold" w:cs="Open Sans SemiBold"/>
                <w:b/>
                <w:bCs/>
                <w:color w:val="FFFFFF" w:themeColor="background1"/>
              </w:rPr>
              <w:t>A</w:t>
            </w:r>
            <w:r w:rsidRPr="00B71423">
              <w:rPr>
                <w:rFonts w:ascii="Open Sans SemiBold" w:hAnsi="Open Sans SemiBold" w:cs="Open Sans SemiBold"/>
                <w:b/>
                <w:bCs/>
                <w:color w:val="FFFFFF" w:themeColor="background1"/>
              </w:rPr>
              <w:t>go</w:t>
            </w:r>
          </w:p>
        </w:tc>
        <w:tc>
          <w:tcPr>
            <w:tcW w:w="1172"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4D10FB96"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3Ms</w:t>
            </w:r>
          </w:p>
          <w:p w14:paraId="1F908488"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Ago</w:t>
            </w:r>
          </w:p>
        </w:tc>
        <w:tc>
          <w:tcPr>
            <w:tcW w:w="1172"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0639237C"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6Ms</w:t>
            </w:r>
          </w:p>
          <w:p w14:paraId="591309DD"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Ago</w:t>
            </w:r>
          </w:p>
        </w:tc>
        <w:tc>
          <w:tcPr>
            <w:tcW w:w="1171"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4A6E3781"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12Ms</w:t>
            </w:r>
          </w:p>
          <w:p w14:paraId="01543000"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Ago</w:t>
            </w:r>
          </w:p>
        </w:tc>
        <w:tc>
          <w:tcPr>
            <w:tcW w:w="1172"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15C22534"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1M</w:t>
            </w:r>
            <w:r>
              <w:rPr>
                <w:rFonts w:ascii="Open Sans SemiBold" w:hAnsi="Open Sans SemiBold" w:cs="Open Sans SemiBold"/>
                <w:b/>
                <w:bCs/>
                <w:color w:val="FFFFFF" w:themeColor="background1"/>
              </w:rPr>
              <w:t xml:space="preserve"> </w:t>
            </w:r>
            <w:r w:rsidRPr="00B71423">
              <w:rPr>
                <w:rFonts w:ascii="Open Sans SemiBold" w:hAnsi="Open Sans SemiBold" w:cs="Open Sans SemiBold"/>
                <w:b/>
                <w:bCs/>
                <w:color w:val="FFFFFF" w:themeColor="background1"/>
              </w:rPr>
              <w:t>Delta</w:t>
            </w:r>
          </w:p>
        </w:tc>
        <w:tc>
          <w:tcPr>
            <w:tcW w:w="1172"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5419EE05"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3M</w:t>
            </w:r>
          </w:p>
          <w:p w14:paraId="01CD08A7"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Delta</w:t>
            </w:r>
          </w:p>
        </w:tc>
        <w:tc>
          <w:tcPr>
            <w:tcW w:w="1146"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31D1ADC2"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6M</w:t>
            </w:r>
          </w:p>
          <w:p w14:paraId="5403C312"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Delta</w:t>
            </w:r>
          </w:p>
        </w:tc>
        <w:tc>
          <w:tcPr>
            <w:tcW w:w="1198" w:type="dxa"/>
            <w:tcBorders>
              <w:top w:val="single" w:sz="4" w:space="0" w:color="459BBC"/>
              <w:left w:val="single" w:sz="4" w:space="0" w:color="459BBC"/>
              <w:bottom w:val="single" w:sz="4" w:space="0" w:color="459BBC"/>
              <w:right w:val="single" w:sz="4" w:space="0" w:color="459BBC"/>
            </w:tcBorders>
            <w:shd w:val="clear" w:color="auto" w:fill="459BBC"/>
            <w:noWrap/>
            <w:vAlign w:val="center"/>
            <w:hideMark/>
          </w:tcPr>
          <w:p w14:paraId="2F5F60FB" w14:textId="77777777" w:rsidR="00A07921" w:rsidRPr="00B71423" w:rsidRDefault="00A07921" w:rsidP="00250C36">
            <w:pPr>
              <w:jc w:val="center"/>
              <w:rPr>
                <w:rFonts w:ascii="Open Sans SemiBold" w:hAnsi="Open Sans SemiBold" w:cs="Open Sans SemiBold"/>
                <w:b/>
                <w:bCs/>
                <w:color w:val="FFFFFF" w:themeColor="background1"/>
              </w:rPr>
            </w:pPr>
            <w:r w:rsidRPr="00B71423">
              <w:rPr>
                <w:rFonts w:ascii="Open Sans SemiBold" w:hAnsi="Open Sans SemiBold" w:cs="Open Sans SemiBold"/>
                <w:b/>
                <w:bCs/>
                <w:color w:val="FFFFFF" w:themeColor="background1"/>
              </w:rPr>
              <w:t>12M Delta</w:t>
            </w:r>
          </w:p>
        </w:tc>
      </w:tr>
      <w:tr w:rsidR="004C5D30" w:rsidRPr="009B536B" w14:paraId="1BCBE492"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35A9F489" w14:textId="4E7B6537"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S&amp;P 500</w:t>
            </w:r>
          </w:p>
        </w:tc>
        <w:tc>
          <w:tcPr>
            <w:tcW w:w="1171" w:type="dxa"/>
            <w:tcBorders>
              <w:top w:val="single" w:sz="4" w:space="0" w:color="459BBC"/>
              <w:left w:val="dotDotDash" w:sz="4" w:space="0" w:color="459BBC"/>
              <w:bottom w:val="single" w:sz="4" w:space="0" w:color="459BBC"/>
            </w:tcBorders>
            <w:noWrap/>
            <w:vAlign w:val="center"/>
          </w:tcPr>
          <w:p w14:paraId="5416EE15" w14:textId="337885A1"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6,840.20</w:t>
            </w:r>
          </w:p>
        </w:tc>
        <w:tc>
          <w:tcPr>
            <w:tcW w:w="1172" w:type="dxa"/>
            <w:tcBorders>
              <w:top w:val="single" w:sz="4" w:space="0" w:color="459BBC"/>
              <w:bottom w:val="single" w:sz="4" w:space="0" w:color="459BBC"/>
            </w:tcBorders>
            <w:noWrap/>
            <w:vAlign w:val="center"/>
          </w:tcPr>
          <w:p w14:paraId="0EB86BF5" w14:textId="11F47885"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6,688.46</w:t>
            </w:r>
          </w:p>
        </w:tc>
        <w:tc>
          <w:tcPr>
            <w:tcW w:w="1172" w:type="dxa"/>
            <w:tcBorders>
              <w:top w:val="single" w:sz="4" w:space="0" w:color="459BBC"/>
              <w:bottom w:val="single" w:sz="4" w:space="0" w:color="459BBC"/>
            </w:tcBorders>
            <w:noWrap/>
            <w:vAlign w:val="center"/>
          </w:tcPr>
          <w:p w14:paraId="54123EB0" w14:textId="6DA95911"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6,339.39</w:t>
            </w:r>
          </w:p>
        </w:tc>
        <w:tc>
          <w:tcPr>
            <w:tcW w:w="1172" w:type="dxa"/>
            <w:tcBorders>
              <w:top w:val="single" w:sz="4" w:space="0" w:color="459BBC"/>
              <w:bottom w:val="single" w:sz="4" w:space="0" w:color="459BBC"/>
            </w:tcBorders>
            <w:noWrap/>
            <w:vAlign w:val="center"/>
          </w:tcPr>
          <w:p w14:paraId="5AFBD7FA" w14:textId="45D35C6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5,569.06</w:t>
            </w:r>
          </w:p>
        </w:tc>
        <w:tc>
          <w:tcPr>
            <w:tcW w:w="1171" w:type="dxa"/>
            <w:tcBorders>
              <w:top w:val="single" w:sz="4" w:space="0" w:color="459BBC"/>
              <w:bottom w:val="single" w:sz="4" w:space="0" w:color="459BBC"/>
              <w:right w:val="dotDotDash" w:sz="4" w:space="0" w:color="459BBC"/>
            </w:tcBorders>
            <w:noWrap/>
            <w:vAlign w:val="center"/>
          </w:tcPr>
          <w:p w14:paraId="0A997D32" w14:textId="0B4E2D7F"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5,705.45</w:t>
            </w:r>
          </w:p>
        </w:tc>
        <w:tc>
          <w:tcPr>
            <w:tcW w:w="1172" w:type="dxa"/>
            <w:tcBorders>
              <w:top w:val="single" w:sz="4" w:space="0" w:color="459BBC"/>
              <w:left w:val="dotDotDash" w:sz="4" w:space="0" w:color="459BBC"/>
              <w:bottom w:val="single" w:sz="4" w:space="0" w:color="459BBC"/>
            </w:tcBorders>
            <w:noWrap/>
            <w:vAlign w:val="center"/>
          </w:tcPr>
          <w:p w14:paraId="3D64A5CE" w14:textId="54ABCC5B"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2.27% </w:t>
            </w:r>
          </w:p>
        </w:tc>
        <w:tc>
          <w:tcPr>
            <w:tcW w:w="1172" w:type="dxa"/>
            <w:tcBorders>
              <w:top w:val="single" w:sz="4" w:space="0" w:color="459BBC"/>
              <w:bottom w:val="single" w:sz="4" w:space="0" w:color="459BBC"/>
            </w:tcBorders>
            <w:noWrap/>
            <w:vAlign w:val="center"/>
          </w:tcPr>
          <w:p w14:paraId="5939A3FB" w14:textId="66A16221"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7.90% </w:t>
            </w:r>
          </w:p>
        </w:tc>
        <w:tc>
          <w:tcPr>
            <w:tcW w:w="1146" w:type="dxa"/>
            <w:tcBorders>
              <w:top w:val="single" w:sz="4" w:space="0" w:color="459BBC"/>
              <w:bottom w:val="single" w:sz="4" w:space="0" w:color="459BBC"/>
            </w:tcBorders>
            <w:noWrap/>
            <w:vAlign w:val="center"/>
          </w:tcPr>
          <w:p w14:paraId="1354AD5A" w14:textId="7116B6AC"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22.83% </w:t>
            </w:r>
          </w:p>
        </w:tc>
        <w:tc>
          <w:tcPr>
            <w:tcW w:w="1198" w:type="dxa"/>
            <w:tcBorders>
              <w:top w:val="single" w:sz="4" w:space="0" w:color="459BBC"/>
              <w:bottom w:val="single" w:sz="4" w:space="0" w:color="459BBC"/>
              <w:right w:val="single" w:sz="4" w:space="0" w:color="459BBC"/>
            </w:tcBorders>
            <w:noWrap/>
            <w:vAlign w:val="center"/>
          </w:tcPr>
          <w:p w14:paraId="328B0F04" w14:textId="0EA9959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19.89% </w:t>
            </w:r>
          </w:p>
        </w:tc>
      </w:tr>
      <w:tr w:rsidR="004C5D30" w:rsidRPr="009B536B" w14:paraId="45EFCA6F"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780C7FE4" w14:textId="274B4B1C"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S&amp;P/TSX Composite</w:t>
            </w:r>
          </w:p>
        </w:tc>
        <w:tc>
          <w:tcPr>
            <w:tcW w:w="1171" w:type="dxa"/>
            <w:tcBorders>
              <w:top w:val="single" w:sz="4" w:space="0" w:color="459BBC"/>
              <w:left w:val="dotDotDash" w:sz="4" w:space="0" w:color="459BBC"/>
              <w:bottom w:val="single" w:sz="4" w:space="0" w:color="459BBC"/>
            </w:tcBorders>
            <w:noWrap/>
            <w:vAlign w:val="center"/>
          </w:tcPr>
          <w:p w14:paraId="12933947" w14:textId="1B64F7D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30,260.74</w:t>
            </w:r>
          </w:p>
        </w:tc>
        <w:tc>
          <w:tcPr>
            <w:tcW w:w="1172" w:type="dxa"/>
            <w:tcBorders>
              <w:top w:val="single" w:sz="4" w:space="0" w:color="459BBC"/>
              <w:bottom w:val="single" w:sz="4" w:space="0" w:color="459BBC"/>
            </w:tcBorders>
            <w:noWrap/>
            <w:vAlign w:val="center"/>
          </w:tcPr>
          <w:p w14:paraId="35091E8D" w14:textId="56AFF5A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30,022.81</w:t>
            </w:r>
          </w:p>
        </w:tc>
        <w:tc>
          <w:tcPr>
            <w:tcW w:w="1172" w:type="dxa"/>
            <w:tcBorders>
              <w:top w:val="single" w:sz="4" w:space="0" w:color="459BBC"/>
              <w:bottom w:val="single" w:sz="4" w:space="0" w:color="459BBC"/>
            </w:tcBorders>
            <w:noWrap/>
            <w:vAlign w:val="center"/>
          </w:tcPr>
          <w:p w14:paraId="39E5E52F" w14:textId="5A8FA55F"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27,259.78</w:t>
            </w:r>
          </w:p>
        </w:tc>
        <w:tc>
          <w:tcPr>
            <w:tcW w:w="1172" w:type="dxa"/>
            <w:tcBorders>
              <w:top w:val="single" w:sz="4" w:space="0" w:color="459BBC"/>
              <w:bottom w:val="single" w:sz="4" w:space="0" w:color="459BBC"/>
            </w:tcBorders>
            <w:noWrap/>
            <w:vAlign w:val="center"/>
          </w:tcPr>
          <w:p w14:paraId="43960D5F" w14:textId="3D1F2A3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24,841.68</w:t>
            </w:r>
          </w:p>
        </w:tc>
        <w:tc>
          <w:tcPr>
            <w:tcW w:w="1171" w:type="dxa"/>
            <w:tcBorders>
              <w:top w:val="single" w:sz="4" w:space="0" w:color="459BBC"/>
              <w:bottom w:val="single" w:sz="4" w:space="0" w:color="459BBC"/>
              <w:right w:val="dotDotDash" w:sz="4" w:space="0" w:color="459BBC"/>
            </w:tcBorders>
            <w:noWrap/>
            <w:vAlign w:val="center"/>
          </w:tcPr>
          <w:p w14:paraId="6E8BD26C" w14:textId="07E25816"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24,156.87</w:t>
            </w:r>
          </w:p>
        </w:tc>
        <w:tc>
          <w:tcPr>
            <w:tcW w:w="1172" w:type="dxa"/>
            <w:tcBorders>
              <w:top w:val="single" w:sz="4" w:space="0" w:color="459BBC"/>
              <w:left w:val="dotDotDash" w:sz="4" w:space="0" w:color="459BBC"/>
              <w:bottom w:val="single" w:sz="4" w:space="0" w:color="459BBC"/>
            </w:tcBorders>
            <w:noWrap/>
            <w:vAlign w:val="center"/>
          </w:tcPr>
          <w:p w14:paraId="05145C12" w14:textId="42DC4F40"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0.79% </w:t>
            </w:r>
          </w:p>
        </w:tc>
        <w:tc>
          <w:tcPr>
            <w:tcW w:w="1172" w:type="dxa"/>
            <w:tcBorders>
              <w:top w:val="single" w:sz="4" w:space="0" w:color="459BBC"/>
              <w:bottom w:val="single" w:sz="4" w:space="0" w:color="459BBC"/>
            </w:tcBorders>
            <w:noWrap/>
            <w:vAlign w:val="center"/>
          </w:tcPr>
          <w:p w14:paraId="791CC220" w14:textId="5C13E5F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11.01% </w:t>
            </w:r>
          </w:p>
        </w:tc>
        <w:tc>
          <w:tcPr>
            <w:tcW w:w="1146" w:type="dxa"/>
            <w:tcBorders>
              <w:top w:val="single" w:sz="4" w:space="0" w:color="459BBC"/>
              <w:bottom w:val="single" w:sz="4" w:space="0" w:color="459BBC"/>
            </w:tcBorders>
            <w:noWrap/>
            <w:vAlign w:val="center"/>
          </w:tcPr>
          <w:p w14:paraId="5F50508A" w14:textId="65601226"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21.81% </w:t>
            </w:r>
          </w:p>
        </w:tc>
        <w:tc>
          <w:tcPr>
            <w:tcW w:w="1198" w:type="dxa"/>
            <w:tcBorders>
              <w:top w:val="single" w:sz="4" w:space="0" w:color="459BBC"/>
              <w:bottom w:val="single" w:sz="4" w:space="0" w:color="459BBC"/>
              <w:right w:val="single" w:sz="4" w:space="0" w:color="459BBC"/>
            </w:tcBorders>
            <w:noWrap/>
            <w:vAlign w:val="center"/>
          </w:tcPr>
          <w:p w14:paraId="272EB558" w14:textId="28611F6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25.27% </w:t>
            </w:r>
          </w:p>
        </w:tc>
      </w:tr>
      <w:tr w:rsidR="004C5D30" w:rsidRPr="009B536B" w14:paraId="632D669B"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1B35D985" w14:textId="5978B251"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5Y US Gov Bond Yield</w:t>
            </w:r>
          </w:p>
        </w:tc>
        <w:tc>
          <w:tcPr>
            <w:tcW w:w="1171" w:type="dxa"/>
            <w:tcBorders>
              <w:top w:val="single" w:sz="4" w:space="0" w:color="459BBC"/>
              <w:left w:val="dotDotDash" w:sz="4" w:space="0" w:color="459BBC"/>
              <w:bottom w:val="single" w:sz="4" w:space="0" w:color="459BBC"/>
            </w:tcBorders>
            <w:noWrap/>
            <w:vAlign w:val="center"/>
          </w:tcPr>
          <w:p w14:paraId="7BE68AF2" w14:textId="3437450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3.71</w:t>
            </w:r>
          </w:p>
        </w:tc>
        <w:tc>
          <w:tcPr>
            <w:tcW w:w="1172" w:type="dxa"/>
            <w:tcBorders>
              <w:top w:val="single" w:sz="4" w:space="0" w:color="459BBC"/>
              <w:bottom w:val="single" w:sz="4" w:space="0" w:color="459BBC"/>
            </w:tcBorders>
            <w:noWrap/>
            <w:vAlign w:val="center"/>
          </w:tcPr>
          <w:p w14:paraId="566D58A1" w14:textId="4CF79ED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3.74</w:t>
            </w:r>
          </w:p>
        </w:tc>
        <w:tc>
          <w:tcPr>
            <w:tcW w:w="1172" w:type="dxa"/>
            <w:tcBorders>
              <w:top w:val="single" w:sz="4" w:space="0" w:color="459BBC"/>
              <w:bottom w:val="single" w:sz="4" w:space="0" w:color="459BBC"/>
            </w:tcBorders>
            <w:noWrap/>
            <w:vAlign w:val="center"/>
          </w:tcPr>
          <w:p w14:paraId="3BEDF5ED" w14:textId="50B070D4"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3.96</w:t>
            </w:r>
          </w:p>
        </w:tc>
        <w:tc>
          <w:tcPr>
            <w:tcW w:w="1172" w:type="dxa"/>
            <w:tcBorders>
              <w:top w:val="single" w:sz="4" w:space="0" w:color="459BBC"/>
              <w:bottom w:val="single" w:sz="4" w:space="0" w:color="459BBC"/>
            </w:tcBorders>
            <w:noWrap/>
            <w:vAlign w:val="center"/>
          </w:tcPr>
          <w:p w14:paraId="33004BFB" w14:textId="473A174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3.72</w:t>
            </w:r>
          </w:p>
        </w:tc>
        <w:tc>
          <w:tcPr>
            <w:tcW w:w="1171" w:type="dxa"/>
            <w:tcBorders>
              <w:top w:val="single" w:sz="4" w:space="0" w:color="459BBC"/>
              <w:bottom w:val="single" w:sz="4" w:space="0" w:color="459BBC"/>
              <w:right w:val="dotDotDash" w:sz="4" w:space="0" w:color="459BBC"/>
            </w:tcBorders>
            <w:noWrap/>
            <w:vAlign w:val="center"/>
          </w:tcPr>
          <w:p w14:paraId="2D6FAF95" w14:textId="7B3C90E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4.15</w:t>
            </w:r>
          </w:p>
        </w:tc>
        <w:tc>
          <w:tcPr>
            <w:tcW w:w="1172" w:type="dxa"/>
            <w:tcBorders>
              <w:top w:val="single" w:sz="4" w:space="0" w:color="459BBC"/>
              <w:left w:val="dotDotDash" w:sz="4" w:space="0" w:color="459BBC"/>
              <w:bottom w:val="single" w:sz="4" w:space="0" w:color="459BBC"/>
            </w:tcBorders>
            <w:noWrap/>
            <w:vAlign w:val="center"/>
          </w:tcPr>
          <w:p w14:paraId="30AFA0FA" w14:textId="0866B58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(3 bps)</w:t>
            </w:r>
          </w:p>
        </w:tc>
        <w:tc>
          <w:tcPr>
            <w:tcW w:w="1172" w:type="dxa"/>
            <w:tcBorders>
              <w:top w:val="single" w:sz="4" w:space="0" w:color="459BBC"/>
              <w:bottom w:val="single" w:sz="4" w:space="0" w:color="459BBC"/>
            </w:tcBorders>
            <w:noWrap/>
            <w:vAlign w:val="center"/>
          </w:tcPr>
          <w:p w14:paraId="5CBF52FC" w14:textId="2A0D300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(25 bps)</w:t>
            </w:r>
          </w:p>
        </w:tc>
        <w:tc>
          <w:tcPr>
            <w:tcW w:w="1146" w:type="dxa"/>
            <w:tcBorders>
              <w:top w:val="single" w:sz="4" w:space="0" w:color="459BBC"/>
              <w:bottom w:val="single" w:sz="4" w:space="0" w:color="459BBC"/>
            </w:tcBorders>
            <w:noWrap/>
            <w:vAlign w:val="center"/>
          </w:tcPr>
          <w:p w14:paraId="32DF8848" w14:textId="65B3877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 bps)</w:t>
            </w:r>
          </w:p>
        </w:tc>
        <w:tc>
          <w:tcPr>
            <w:tcW w:w="1198" w:type="dxa"/>
            <w:tcBorders>
              <w:top w:val="single" w:sz="4" w:space="0" w:color="459BBC"/>
              <w:bottom w:val="single" w:sz="4" w:space="0" w:color="459BBC"/>
              <w:right w:val="single" w:sz="4" w:space="0" w:color="459BBC"/>
            </w:tcBorders>
            <w:noWrap/>
            <w:vAlign w:val="center"/>
          </w:tcPr>
          <w:p w14:paraId="447BF9DD" w14:textId="34F6CE1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(44 bps)</w:t>
            </w:r>
          </w:p>
        </w:tc>
      </w:tr>
      <w:tr w:rsidR="004C5D30" w:rsidRPr="009B536B" w14:paraId="6E46965F"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5FC6218C" w14:textId="55B241A9"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5Y Canadian Gov Bond Yield</w:t>
            </w:r>
          </w:p>
        </w:tc>
        <w:tc>
          <w:tcPr>
            <w:tcW w:w="1171" w:type="dxa"/>
            <w:tcBorders>
              <w:top w:val="single" w:sz="4" w:space="0" w:color="459BBC"/>
              <w:left w:val="dotDotDash" w:sz="4" w:space="0" w:color="459BBC"/>
              <w:bottom w:val="single" w:sz="4" w:space="0" w:color="459BBC"/>
            </w:tcBorders>
            <w:noWrap/>
            <w:vAlign w:val="center"/>
          </w:tcPr>
          <w:p w14:paraId="4F01DE83" w14:textId="3D5B49EB"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2.70</w:t>
            </w:r>
          </w:p>
        </w:tc>
        <w:tc>
          <w:tcPr>
            <w:tcW w:w="1172" w:type="dxa"/>
            <w:tcBorders>
              <w:top w:val="single" w:sz="4" w:space="0" w:color="459BBC"/>
              <w:bottom w:val="single" w:sz="4" w:space="0" w:color="459BBC"/>
            </w:tcBorders>
            <w:noWrap/>
            <w:vAlign w:val="center"/>
          </w:tcPr>
          <w:p w14:paraId="15C21B96" w14:textId="25D3709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2.75</w:t>
            </w:r>
          </w:p>
        </w:tc>
        <w:tc>
          <w:tcPr>
            <w:tcW w:w="1172" w:type="dxa"/>
            <w:tcBorders>
              <w:top w:val="single" w:sz="4" w:space="0" w:color="459BBC"/>
              <w:bottom w:val="single" w:sz="4" w:space="0" w:color="459BBC"/>
            </w:tcBorders>
            <w:noWrap/>
            <w:vAlign w:val="center"/>
          </w:tcPr>
          <w:p w14:paraId="52A914B8" w14:textId="27868BCC"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3.03</w:t>
            </w:r>
          </w:p>
        </w:tc>
        <w:tc>
          <w:tcPr>
            <w:tcW w:w="1172" w:type="dxa"/>
            <w:tcBorders>
              <w:top w:val="single" w:sz="4" w:space="0" w:color="459BBC"/>
              <w:bottom w:val="single" w:sz="4" w:space="0" w:color="459BBC"/>
            </w:tcBorders>
            <w:noWrap/>
            <w:vAlign w:val="center"/>
          </w:tcPr>
          <w:p w14:paraId="3B8CBEC5" w14:textId="7E437C2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2.68</w:t>
            </w:r>
          </w:p>
        </w:tc>
        <w:tc>
          <w:tcPr>
            <w:tcW w:w="1171" w:type="dxa"/>
            <w:tcBorders>
              <w:top w:val="single" w:sz="4" w:space="0" w:color="459BBC"/>
              <w:bottom w:val="single" w:sz="4" w:space="0" w:color="459BBC"/>
              <w:right w:val="dotDotDash" w:sz="4" w:space="0" w:color="459BBC"/>
            </w:tcBorders>
            <w:noWrap/>
            <w:vAlign w:val="center"/>
          </w:tcPr>
          <w:p w14:paraId="217F62EF" w14:textId="1C960D4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3.03</w:t>
            </w:r>
          </w:p>
        </w:tc>
        <w:tc>
          <w:tcPr>
            <w:tcW w:w="1172" w:type="dxa"/>
            <w:tcBorders>
              <w:top w:val="single" w:sz="4" w:space="0" w:color="459BBC"/>
              <w:left w:val="dotDotDash" w:sz="4" w:space="0" w:color="459BBC"/>
              <w:bottom w:val="single" w:sz="4" w:space="0" w:color="459BBC"/>
            </w:tcBorders>
            <w:noWrap/>
            <w:vAlign w:val="center"/>
          </w:tcPr>
          <w:p w14:paraId="2F033CB9" w14:textId="41F3DE6C" w:rsidR="004C5D30" w:rsidRPr="004C5D30" w:rsidRDefault="004C5D30" w:rsidP="004C5D30">
            <w:pPr>
              <w:jc w:val="center"/>
              <w:rPr>
                <w:rFonts w:ascii="Open Sans" w:hAnsi="Open Sans" w:cs="Open Sans"/>
                <w:sz w:val="20"/>
                <w:szCs w:val="20"/>
              </w:rPr>
            </w:pPr>
            <w:r w:rsidRPr="004C5D30">
              <w:rPr>
                <w:rFonts w:ascii="Open Sans" w:hAnsi="Open Sans" w:cs="Open Sans"/>
                <w:color w:val="FF0000"/>
                <w:sz w:val="20"/>
                <w:szCs w:val="20"/>
              </w:rPr>
              <w:t>(5 bps)</w:t>
            </w:r>
          </w:p>
        </w:tc>
        <w:tc>
          <w:tcPr>
            <w:tcW w:w="1172" w:type="dxa"/>
            <w:tcBorders>
              <w:top w:val="single" w:sz="4" w:space="0" w:color="459BBC"/>
              <w:bottom w:val="single" w:sz="4" w:space="0" w:color="459BBC"/>
            </w:tcBorders>
            <w:noWrap/>
            <w:vAlign w:val="center"/>
          </w:tcPr>
          <w:p w14:paraId="2A3D4D24" w14:textId="37FE0CD6"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(33 bps)</w:t>
            </w:r>
          </w:p>
        </w:tc>
        <w:tc>
          <w:tcPr>
            <w:tcW w:w="1146" w:type="dxa"/>
            <w:tcBorders>
              <w:top w:val="single" w:sz="4" w:space="0" w:color="459BBC"/>
              <w:bottom w:val="single" w:sz="4" w:space="0" w:color="459BBC"/>
            </w:tcBorders>
            <w:noWrap/>
            <w:vAlign w:val="center"/>
          </w:tcPr>
          <w:p w14:paraId="0CC51FF2" w14:textId="1CBB870C"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 bps</w:t>
            </w:r>
          </w:p>
        </w:tc>
        <w:tc>
          <w:tcPr>
            <w:tcW w:w="1198" w:type="dxa"/>
            <w:tcBorders>
              <w:top w:val="single" w:sz="4" w:space="0" w:color="459BBC"/>
              <w:bottom w:val="single" w:sz="4" w:space="0" w:color="459BBC"/>
              <w:right w:val="single" w:sz="4" w:space="0" w:color="459BBC"/>
            </w:tcBorders>
            <w:noWrap/>
            <w:vAlign w:val="center"/>
          </w:tcPr>
          <w:p w14:paraId="01672D6E" w14:textId="53DF26A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(33 bps)</w:t>
            </w:r>
          </w:p>
        </w:tc>
      </w:tr>
      <w:tr w:rsidR="004C5D30" w:rsidRPr="009B536B" w14:paraId="51AB25D3"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2503AA4F" w14:textId="087C8478"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10Y US Gov Bond Yield</w:t>
            </w:r>
          </w:p>
        </w:tc>
        <w:tc>
          <w:tcPr>
            <w:tcW w:w="1171" w:type="dxa"/>
            <w:tcBorders>
              <w:top w:val="single" w:sz="4" w:space="0" w:color="459BBC"/>
              <w:left w:val="dotDotDash" w:sz="4" w:space="0" w:color="459BBC"/>
              <w:bottom w:val="single" w:sz="4" w:space="0" w:color="459BBC"/>
            </w:tcBorders>
            <w:noWrap/>
            <w:vAlign w:val="center"/>
          </w:tcPr>
          <w:p w14:paraId="18A95804" w14:textId="7013B20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4.11</w:t>
            </w:r>
          </w:p>
        </w:tc>
        <w:tc>
          <w:tcPr>
            <w:tcW w:w="1172" w:type="dxa"/>
            <w:tcBorders>
              <w:top w:val="single" w:sz="4" w:space="0" w:color="459BBC"/>
              <w:bottom w:val="single" w:sz="4" w:space="0" w:color="459BBC"/>
            </w:tcBorders>
            <w:noWrap/>
            <w:vAlign w:val="center"/>
          </w:tcPr>
          <w:p w14:paraId="33A25796" w14:textId="672FD8E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4.16</w:t>
            </w:r>
          </w:p>
        </w:tc>
        <w:tc>
          <w:tcPr>
            <w:tcW w:w="1172" w:type="dxa"/>
            <w:tcBorders>
              <w:top w:val="single" w:sz="4" w:space="0" w:color="459BBC"/>
              <w:bottom w:val="single" w:sz="4" w:space="0" w:color="459BBC"/>
            </w:tcBorders>
            <w:noWrap/>
            <w:vAlign w:val="center"/>
          </w:tcPr>
          <w:p w14:paraId="7606EFED" w14:textId="2E44C88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4.37</w:t>
            </w:r>
          </w:p>
        </w:tc>
        <w:tc>
          <w:tcPr>
            <w:tcW w:w="1172" w:type="dxa"/>
            <w:tcBorders>
              <w:top w:val="single" w:sz="4" w:space="0" w:color="459BBC"/>
              <w:bottom w:val="single" w:sz="4" w:space="0" w:color="459BBC"/>
            </w:tcBorders>
            <w:noWrap/>
            <w:vAlign w:val="center"/>
          </w:tcPr>
          <w:p w14:paraId="032F6085" w14:textId="53D41FAF"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4.17</w:t>
            </w:r>
          </w:p>
        </w:tc>
        <w:tc>
          <w:tcPr>
            <w:tcW w:w="1171" w:type="dxa"/>
            <w:tcBorders>
              <w:top w:val="single" w:sz="4" w:space="0" w:color="459BBC"/>
              <w:bottom w:val="single" w:sz="4" w:space="0" w:color="459BBC"/>
              <w:right w:val="dotDotDash" w:sz="4" w:space="0" w:color="459BBC"/>
            </w:tcBorders>
            <w:noWrap/>
            <w:vAlign w:val="center"/>
          </w:tcPr>
          <w:p w14:paraId="4B9686E3" w14:textId="54253FF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4.28</w:t>
            </w:r>
          </w:p>
        </w:tc>
        <w:tc>
          <w:tcPr>
            <w:tcW w:w="1172" w:type="dxa"/>
            <w:tcBorders>
              <w:top w:val="single" w:sz="4" w:space="0" w:color="459BBC"/>
              <w:left w:val="dotDotDash" w:sz="4" w:space="0" w:color="459BBC"/>
              <w:bottom w:val="single" w:sz="4" w:space="0" w:color="459BBC"/>
            </w:tcBorders>
            <w:noWrap/>
            <w:vAlign w:val="center"/>
          </w:tcPr>
          <w:p w14:paraId="68C191A0" w14:textId="5727E842" w:rsidR="004C5D30" w:rsidRPr="004C5D30" w:rsidRDefault="004C5D30" w:rsidP="004C5D30">
            <w:pPr>
              <w:jc w:val="center"/>
              <w:rPr>
                <w:rFonts w:ascii="Open Sans" w:hAnsi="Open Sans" w:cs="Open Sans"/>
                <w:sz w:val="20"/>
                <w:szCs w:val="20"/>
              </w:rPr>
            </w:pPr>
            <w:r w:rsidRPr="004C5D30">
              <w:rPr>
                <w:rFonts w:ascii="Open Sans" w:hAnsi="Open Sans" w:cs="Open Sans"/>
                <w:color w:val="FF0000"/>
                <w:sz w:val="20"/>
                <w:szCs w:val="20"/>
              </w:rPr>
              <w:t>(5 bps)</w:t>
            </w:r>
          </w:p>
        </w:tc>
        <w:tc>
          <w:tcPr>
            <w:tcW w:w="1172" w:type="dxa"/>
            <w:tcBorders>
              <w:top w:val="single" w:sz="4" w:space="0" w:color="459BBC"/>
              <w:bottom w:val="single" w:sz="4" w:space="0" w:color="459BBC"/>
            </w:tcBorders>
            <w:noWrap/>
            <w:vAlign w:val="center"/>
          </w:tcPr>
          <w:p w14:paraId="64FC8BD4" w14:textId="5310A6F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(26 bps)</w:t>
            </w:r>
          </w:p>
        </w:tc>
        <w:tc>
          <w:tcPr>
            <w:tcW w:w="1146" w:type="dxa"/>
            <w:tcBorders>
              <w:top w:val="single" w:sz="4" w:space="0" w:color="459BBC"/>
              <w:bottom w:val="single" w:sz="4" w:space="0" w:color="459BBC"/>
            </w:tcBorders>
            <w:noWrap/>
            <w:vAlign w:val="center"/>
          </w:tcPr>
          <w:p w14:paraId="478D22A6" w14:textId="2354384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(6 bps)</w:t>
            </w:r>
          </w:p>
        </w:tc>
        <w:tc>
          <w:tcPr>
            <w:tcW w:w="1198" w:type="dxa"/>
            <w:tcBorders>
              <w:top w:val="single" w:sz="4" w:space="0" w:color="459BBC"/>
              <w:bottom w:val="single" w:sz="4" w:space="0" w:color="459BBC"/>
              <w:right w:val="single" w:sz="4" w:space="0" w:color="459BBC"/>
            </w:tcBorders>
            <w:noWrap/>
            <w:vAlign w:val="center"/>
          </w:tcPr>
          <w:p w14:paraId="0C7723F5" w14:textId="0645157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(17 bps)</w:t>
            </w:r>
          </w:p>
        </w:tc>
      </w:tr>
      <w:tr w:rsidR="004C5D30" w:rsidRPr="009B536B" w14:paraId="28ECA7F0"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2DD6F5DB" w14:textId="14221556"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10Y Canadian Gov Bond Yield</w:t>
            </w:r>
          </w:p>
        </w:tc>
        <w:tc>
          <w:tcPr>
            <w:tcW w:w="1171" w:type="dxa"/>
            <w:tcBorders>
              <w:top w:val="single" w:sz="4" w:space="0" w:color="459BBC"/>
              <w:left w:val="dotDotDash" w:sz="4" w:space="0" w:color="459BBC"/>
              <w:bottom w:val="single" w:sz="4" w:space="0" w:color="459BBC"/>
            </w:tcBorders>
            <w:noWrap/>
            <w:vAlign w:val="center"/>
          </w:tcPr>
          <w:p w14:paraId="2AA2A31C" w14:textId="1D5A784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3.12</w:t>
            </w:r>
          </w:p>
        </w:tc>
        <w:tc>
          <w:tcPr>
            <w:tcW w:w="1172" w:type="dxa"/>
            <w:tcBorders>
              <w:top w:val="single" w:sz="4" w:space="0" w:color="459BBC"/>
              <w:bottom w:val="single" w:sz="4" w:space="0" w:color="459BBC"/>
            </w:tcBorders>
            <w:noWrap/>
            <w:vAlign w:val="center"/>
          </w:tcPr>
          <w:p w14:paraId="3C5826C3" w14:textId="4C9F87C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3.19</w:t>
            </w:r>
          </w:p>
        </w:tc>
        <w:tc>
          <w:tcPr>
            <w:tcW w:w="1172" w:type="dxa"/>
            <w:tcBorders>
              <w:top w:val="single" w:sz="4" w:space="0" w:color="459BBC"/>
              <w:bottom w:val="single" w:sz="4" w:space="0" w:color="459BBC"/>
            </w:tcBorders>
            <w:noWrap/>
            <w:vAlign w:val="center"/>
          </w:tcPr>
          <w:p w14:paraId="1CD3EC85" w14:textId="4EA8C176"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3.47</w:t>
            </w:r>
          </w:p>
        </w:tc>
        <w:tc>
          <w:tcPr>
            <w:tcW w:w="1172" w:type="dxa"/>
            <w:tcBorders>
              <w:top w:val="single" w:sz="4" w:space="0" w:color="459BBC"/>
              <w:bottom w:val="single" w:sz="4" w:space="0" w:color="459BBC"/>
            </w:tcBorders>
            <w:noWrap/>
            <w:vAlign w:val="center"/>
          </w:tcPr>
          <w:p w14:paraId="09257074" w14:textId="53DF3446"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3.09</w:t>
            </w:r>
          </w:p>
        </w:tc>
        <w:tc>
          <w:tcPr>
            <w:tcW w:w="1171" w:type="dxa"/>
            <w:tcBorders>
              <w:top w:val="single" w:sz="4" w:space="0" w:color="459BBC"/>
              <w:bottom w:val="single" w:sz="4" w:space="0" w:color="459BBC"/>
              <w:right w:val="dotDotDash" w:sz="4" w:space="0" w:color="459BBC"/>
            </w:tcBorders>
            <w:noWrap/>
            <w:vAlign w:val="center"/>
          </w:tcPr>
          <w:p w14:paraId="7C57C636" w14:textId="580BA42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3.22</w:t>
            </w:r>
          </w:p>
        </w:tc>
        <w:tc>
          <w:tcPr>
            <w:tcW w:w="1172" w:type="dxa"/>
            <w:tcBorders>
              <w:top w:val="single" w:sz="4" w:space="0" w:color="459BBC"/>
              <w:left w:val="dotDotDash" w:sz="4" w:space="0" w:color="459BBC"/>
              <w:bottom w:val="single" w:sz="4" w:space="0" w:color="459BBC"/>
            </w:tcBorders>
            <w:noWrap/>
            <w:vAlign w:val="center"/>
          </w:tcPr>
          <w:p w14:paraId="4E5C0F09" w14:textId="4E36387B"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(6 bps)</w:t>
            </w:r>
          </w:p>
        </w:tc>
        <w:tc>
          <w:tcPr>
            <w:tcW w:w="1172" w:type="dxa"/>
            <w:tcBorders>
              <w:top w:val="single" w:sz="4" w:space="0" w:color="459BBC"/>
              <w:bottom w:val="single" w:sz="4" w:space="0" w:color="459BBC"/>
            </w:tcBorders>
            <w:noWrap/>
            <w:vAlign w:val="center"/>
          </w:tcPr>
          <w:p w14:paraId="3CB9AB34" w14:textId="54A768D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(35 bps)</w:t>
            </w:r>
          </w:p>
        </w:tc>
        <w:tc>
          <w:tcPr>
            <w:tcW w:w="1146" w:type="dxa"/>
            <w:tcBorders>
              <w:top w:val="single" w:sz="4" w:space="0" w:color="459BBC"/>
              <w:bottom w:val="single" w:sz="4" w:space="0" w:color="459BBC"/>
            </w:tcBorders>
            <w:noWrap/>
            <w:vAlign w:val="center"/>
          </w:tcPr>
          <w:p w14:paraId="39E9C90D" w14:textId="77A77C7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 bps</w:t>
            </w:r>
          </w:p>
        </w:tc>
        <w:tc>
          <w:tcPr>
            <w:tcW w:w="1198" w:type="dxa"/>
            <w:tcBorders>
              <w:top w:val="single" w:sz="4" w:space="0" w:color="459BBC"/>
              <w:bottom w:val="single" w:sz="4" w:space="0" w:color="459BBC"/>
              <w:right w:val="single" w:sz="4" w:space="0" w:color="459BBC"/>
            </w:tcBorders>
            <w:noWrap/>
            <w:vAlign w:val="center"/>
          </w:tcPr>
          <w:p w14:paraId="58D2C56C" w14:textId="07878FC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(10 bps)</w:t>
            </w:r>
          </w:p>
        </w:tc>
      </w:tr>
      <w:tr w:rsidR="004C5D30" w:rsidRPr="009B536B" w14:paraId="7ECF54F0"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19F364A7" w14:textId="66EF31FE"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30Y US Gov Bond Yield</w:t>
            </w:r>
          </w:p>
        </w:tc>
        <w:tc>
          <w:tcPr>
            <w:tcW w:w="1171" w:type="dxa"/>
            <w:tcBorders>
              <w:top w:val="single" w:sz="4" w:space="0" w:color="459BBC"/>
              <w:left w:val="dotDotDash" w:sz="4" w:space="0" w:color="459BBC"/>
              <w:bottom w:val="single" w:sz="4" w:space="0" w:color="459BBC"/>
            </w:tcBorders>
            <w:noWrap/>
            <w:vAlign w:val="center"/>
          </w:tcPr>
          <w:p w14:paraId="29691291" w14:textId="237AFEA1"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4.67</w:t>
            </w:r>
          </w:p>
        </w:tc>
        <w:tc>
          <w:tcPr>
            <w:tcW w:w="1172" w:type="dxa"/>
            <w:tcBorders>
              <w:top w:val="single" w:sz="4" w:space="0" w:color="459BBC"/>
              <w:bottom w:val="single" w:sz="4" w:space="0" w:color="459BBC"/>
            </w:tcBorders>
            <w:noWrap/>
            <w:vAlign w:val="center"/>
          </w:tcPr>
          <w:p w14:paraId="3EFA0B7C" w14:textId="1CD049D1"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4.73</w:t>
            </w:r>
          </w:p>
        </w:tc>
        <w:tc>
          <w:tcPr>
            <w:tcW w:w="1172" w:type="dxa"/>
            <w:tcBorders>
              <w:top w:val="single" w:sz="4" w:space="0" w:color="459BBC"/>
              <w:bottom w:val="single" w:sz="4" w:space="0" w:color="459BBC"/>
            </w:tcBorders>
            <w:noWrap/>
            <w:vAlign w:val="center"/>
          </w:tcPr>
          <w:p w14:paraId="1997607A" w14:textId="5ECDA885"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4.89</w:t>
            </w:r>
          </w:p>
        </w:tc>
        <w:tc>
          <w:tcPr>
            <w:tcW w:w="1172" w:type="dxa"/>
            <w:tcBorders>
              <w:top w:val="single" w:sz="4" w:space="0" w:color="459BBC"/>
              <w:bottom w:val="single" w:sz="4" w:space="0" w:color="459BBC"/>
            </w:tcBorders>
            <w:noWrap/>
            <w:vAlign w:val="center"/>
          </w:tcPr>
          <w:p w14:paraId="5F5CE649" w14:textId="730C3F1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4.66</w:t>
            </w:r>
          </w:p>
        </w:tc>
        <w:tc>
          <w:tcPr>
            <w:tcW w:w="1171" w:type="dxa"/>
            <w:tcBorders>
              <w:top w:val="single" w:sz="4" w:space="0" w:color="459BBC"/>
              <w:bottom w:val="single" w:sz="4" w:space="0" w:color="459BBC"/>
              <w:right w:val="dotDotDash" w:sz="4" w:space="0" w:color="459BBC"/>
            </w:tcBorders>
            <w:noWrap/>
            <w:vAlign w:val="center"/>
          </w:tcPr>
          <w:p w14:paraId="09FB60AE" w14:textId="43F6C05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4.47</w:t>
            </w:r>
          </w:p>
        </w:tc>
        <w:tc>
          <w:tcPr>
            <w:tcW w:w="1172" w:type="dxa"/>
            <w:tcBorders>
              <w:top w:val="single" w:sz="4" w:space="0" w:color="459BBC"/>
              <w:left w:val="dotDotDash" w:sz="4" w:space="0" w:color="459BBC"/>
              <w:bottom w:val="single" w:sz="4" w:space="0" w:color="459BBC"/>
            </w:tcBorders>
            <w:noWrap/>
            <w:vAlign w:val="center"/>
          </w:tcPr>
          <w:p w14:paraId="0BB8A4BE" w14:textId="38015BF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(6 bps)</w:t>
            </w:r>
          </w:p>
        </w:tc>
        <w:tc>
          <w:tcPr>
            <w:tcW w:w="1172" w:type="dxa"/>
            <w:tcBorders>
              <w:top w:val="single" w:sz="4" w:space="0" w:color="459BBC"/>
              <w:bottom w:val="single" w:sz="4" w:space="0" w:color="459BBC"/>
            </w:tcBorders>
            <w:noWrap/>
            <w:vAlign w:val="center"/>
          </w:tcPr>
          <w:p w14:paraId="4594C2F9" w14:textId="50CC3C3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(22 bps)</w:t>
            </w:r>
          </w:p>
        </w:tc>
        <w:tc>
          <w:tcPr>
            <w:tcW w:w="1146" w:type="dxa"/>
            <w:tcBorders>
              <w:top w:val="single" w:sz="4" w:space="0" w:color="459BBC"/>
              <w:bottom w:val="single" w:sz="4" w:space="0" w:color="459BBC"/>
            </w:tcBorders>
            <w:noWrap/>
            <w:vAlign w:val="center"/>
          </w:tcPr>
          <w:p w14:paraId="77089BE7" w14:textId="36AF4245"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 bps</w:t>
            </w:r>
          </w:p>
        </w:tc>
        <w:tc>
          <w:tcPr>
            <w:tcW w:w="1198" w:type="dxa"/>
            <w:tcBorders>
              <w:top w:val="single" w:sz="4" w:space="0" w:color="459BBC"/>
              <w:bottom w:val="single" w:sz="4" w:space="0" w:color="459BBC"/>
              <w:right w:val="single" w:sz="4" w:space="0" w:color="459BBC"/>
            </w:tcBorders>
            <w:noWrap/>
            <w:vAlign w:val="center"/>
          </w:tcPr>
          <w:p w14:paraId="2051D7C5" w14:textId="74CBDB0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20 bps</w:t>
            </w:r>
          </w:p>
        </w:tc>
      </w:tr>
      <w:tr w:rsidR="004C5D30" w:rsidRPr="009B536B" w14:paraId="4D8B687F"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72FA7A1D" w14:textId="044F1950"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30Y Canadian Gov Bond Yield</w:t>
            </w:r>
          </w:p>
        </w:tc>
        <w:tc>
          <w:tcPr>
            <w:tcW w:w="1171" w:type="dxa"/>
            <w:tcBorders>
              <w:top w:val="single" w:sz="4" w:space="0" w:color="459BBC"/>
              <w:left w:val="dotDotDash" w:sz="4" w:space="0" w:color="459BBC"/>
              <w:bottom w:val="single" w:sz="4" w:space="0" w:color="459BBC"/>
            </w:tcBorders>
            <w:noWrap/>
            <w:vAlign w:val="center"/>
          </w:tcPr>
          <w:p w14:paraId="0E2B9F5A" w14:textId="448F8D15"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3.58</w:t>
            </w:r>
          </w:p>
        </w:tc>
        <w:tc>
          <w:tcPr>
            <w:tcW w:w="1172" w:type="dxa"/>
            <w:tcBorders>
              <w:top w:val="single" w:sz="4" w:space="0" w:color="459BBC"/>
              <w:bottom w:val="single" w:sz="4" w:space="0" w:color="459BBC"/>
            </w:tcBorders>
            <w:noWrap/>
            <w:vAlign w:val="center"/>
          </w:tcPr>
          <w:p w14:paraId="3A8CFA11" w14:textId="5174D254"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3.63</w:t>
            </w:r>
          </w:p>
        </w:tc>
        <w:tc>
          <w:tcPr>
            <w:tcW w:w="1172" w:type="dxa"/>
            <w:tcBorders>
              <w:top w:val="single" w:sz="4" w:space="0" w:color="459BBC"/>
              <w:bottom w:val="single" w:sz="4" w:space="0" w:color="459BBC"/>
            </w:tcBorders>
            <w:noWrap/>
            <w:vAlign w:val="center"/>
          </w:tcPr>
          <w:p w14:paraId="4D6224C2" w14:textId="1ACC717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3.76</w:t>
            </w:r>
          </w:p>
        </w:tc>
        <w:tc>
          <w:tcPr>
            <w:tcW w:w="1172" w:type="dxa"/>
            <w:tcBorders>
              <w:top w:val="single" w:sz="4" w:space="0" w:color="459BBC"/>
              <w:bottom w:val="single" w:sz="4" w:space="0" w:color="459BBC"/>
            </w:tcBorders>
            <w:noWrap/>
            <w:vAlign w:val="center"/>
          </w:tcPr>
          <w:p w14:paraId="4929045D" w14:textId="4B93F68C"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3.44</w:t>
            </w:r>
          </w:p>
        </w:tc>
        <w:tc>
          <w:tcPr>
            <w:tcW w:w="1171" w:type="dxa"/>
            <w:tcBorders>
              <w:top w:val="single" w:sz="4" w:space="0" w:color="459BBC"/>
              <w:bottom w:val="single" w:sz="4" w:space="0" w:color="459BBC"/>
              <w:right w:val="dotDotDash" w:sz="4" w:space="0" w:color="459BBC"/>
            </w:tcBorders>
            <w:noWrap/>
            <w:vAlign w:val="center"/>
          </w:tcPr>
          <w:p w14:paraId="45992E1D" w14:textId="1B269E05"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3.29</w:t>
            </w:r>
          </w:p>
        </w:tc>
        <w:tc>
          <w:tcPr>
            <w:tcW w:w="1172" w:type="dxa"/>
            <w:tcBorders>
              <w:top w:val="single" w:sz="4" w:space="0" w:color="459BBC"/>
              <w:left w:val="dotDotDash" w:sz="4" w:space="0" w:color="459BBC"/>
              <w:bottom w:val="single" w:sz="4" w:space="0" w:color="459BBC"/>
            </w:tcBorders>
            <w:noWrap/>
            <w:vAlign w:val="center"/>
          </w:tcPr>
          <w:p w14:paraId="208AEF92" w14:textId="24C57B41"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(5 bps)</w:t>
            </w:r>
          </w:p>
        </w:tc>
        <w:tc>
          <w:tcPr>
            <w:tcW w:w="1172" w:type="dxa"/>
            <w:tcBorders>
              <w:top w:val="single" w:sz="4" w:space="0" w:color="459BBC"/>
              <w:bottom w:val="single" w:sz="4" w:space="0" w:color="459BBC"/>
            </w:tcBorders>
            <w:noWrap/>
            <w:vAlign w:val="center"/>
          </w:tcPr>
          <w:p w14:paraId="0D157023" w14:textId="3B660FA7"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FF0000"/>
                <w:sz w:val="20"/>
                <w:szCs w:val="20"/>
              </w:rPr>
              <w:t>(18 bps)</w:t>
            </w:r>
          </w:p>
        </w:tc>
        <w:tc>
          <w:tcPr>
            <w:tcW w:w="1146" w:type="dxa"/>
            <w:tcBorders>
              <w:top w:val="single" w:sz="4" w:space="0" w:color="459BBC"/>
              <w:bottom w:val="single" w:sz="4" w:space="0" w:color="459BBC"/>
            </w:tcBorders>
            <w:noWrap/>
            <w:vAlign w:val="center"/>
          </w:tcPr>
          <w:p w14:paraId="0A7B95C2" w14:textId="415DB62C"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14 bps</w:t>
            </w:r>
          </w:p>
        </w:tc>
        <w:tc>
          <w:tcPr>
            <w:tcW w:w="1198" w:type="dxa"/>
            <w:tcBorders>
              <w:top w:val="single" w:sz="4" w:space="0" w:color="459BBC"/>
              <w:bottom w:val="single" w:sz="4" w:space="0" w:color="459BBC"/>
              <w:right w:val="single" w:sz="4" w:space="0" w:color="459BBC"/>
            </w:tcBorders>
            <w:noWrap/>
            <w:vAlign w:val="center"/>
          </w:tcPr>
          <w:p w14:paraId="422CD8F1" w14:textId="1CD2676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29 bps</w:t>
            </w:r>
          </w:p>
        </w:tc>
      </w:tr>
      <w:tr w:rsidR="004C5D30" w:rsidRPr="009B536B" w14:paraId="5CEC91A0"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7834ACE5" w14:textId="0C645552"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US Bond Yield Curve (3m -10y)</w:t>
            </w:r>
          </w:p>
        </w:tc>
        <w:tc>
          <w:tcPr>
            <w:tcW w:w="1171" w:type="dxa"/>
            <w:tcBorders>
              <w:top w:val="single" w:sz="4" w:space="0" w:color="459BBC"/>
              <w:left w:val="dotDotDash" w:sz="4" w:space="0" w:color="459BBC"/>
              <w:bottom w:val="single" w:sz="4" w:space="0" w:color="459BBC"/>
            </w:tcBorders>
            <w:noWrap/>
            <w:vAlign w:val="center"/>
          </w:tcPr>
          <w:p w14:paraId="17D9C874" w14:textId="7CF47A25" w:rsidR="004C5D30" w:rsidRPr="004C5D30" w:rsidRDefault="004C5D30" w:rsidP="004C5D30">
            <w:pPr>
              <w:jc w:val="center"/>
              <w:rPr>
                <w:rFonts w:ascii="Open Sans" w:hAnsi="Open Sans" w:cs="Open Sans"/>
                <w:color w:val="EE0000"/>
                <w:sz w:val="20"/>
                <w:szCs w:val="20"/>
              </w:rPr>
            </w:pPr>
            <w:r w:rsidRPr="004C5D30">
              <w:rPr>
                <w:rFonts w:ascii="Open Sans" w:hAnsi="Open Sans" w:cs="Open Sans"/>
                <w:color w:val="000000"/>
                <w:sz w:val="20"/>
                <w:szCs w:val="20"/>
              </w:rPr>
              <w:t>0.22</w:t>
            </w:r>
          </w:p>
        </w:tc>
        <w:tc>
          <w:tcPr>
            <w:tcW w:w="1172" w:type="dxa"/>
            <w:tcBorders>
              <w:top w:val="single" w:sz="4" w:space="0" w:color="459BBC"/>
              <w:bottom w:val="single" w:sz="4" w:space="0" w:color="459BBC"/>
            </w:tcBorders>
            <w:noWrap/>
            <w:vAlign w:val="center"/>
          </w:tcPr>
          <w:p w14:paraId="18EBB5FA" w14:textId="52F12472" w:rsidR="004C5D30" w:rsidRPr="004C5D30" w:rsidRDefault="004C5D30" w:rsidP="004C5D30">
            <w:pPr>
              <w:jc w:val="center"/>
              <w:rPr>
                <w:rFonts w:ascii="Open Sans" w:hAnsi="Open Sans" w:cs="Open Sans"/>
                <w:color w:val="EE0000"/>
                <w:sz w:val="20"/>
                <w:szCs w:val="20"/>
              </w:rPr>
            </w:pPr>
            <w:r w:rsidRPr="004C5D30">
              <w:rPr>
                <w:rFonts w:ascii="Open Sans" w:hAnsi="Open Sans" w:cs="Open Sans"/>
                <w:color w:val="000000"/>
                <w:sz w:val="20"/>
                <w:szCs w:val="20"/>
              </w:rPr>
              <w:t>0.14</w:t>
            </w:r>
          </w:p>
        </w:tc>
        <w:tc>
          <w:tcPr>
            <w:tcW w:w="1172" w:type="dxa"/>
            <w:tcBorders>
              <w:top w:val="single" w:sz="4" w:space="0" w:color="459BBC"/>
              <w:bottom w:val="single" w:sz="4" w:space="0" w:color="459BBC"/>
            </w:tcBorders>
            <w:noWrap/>
            <w:vAlign w:val="center"/>
          </w:tcPr>
          <w:p w14:paraId="25B0F543" w14:textId="6C92A12B" w:rsidR="004C5D30" w:rsidRPr="004C5D30" w:rsidRDefault="004C5D30" w:rsidP="004C5D30">
            <w:pPr>
              <w:jc w:val="center"/>
              <w:rPr>
                <w:rFonts w:ascii="Open Sans" w:hAnsi="Open Sans" w:cs="Open Sans"/>
                <w:color w:val="EE0000"/>
                <w:sz w:val="20"/>
                <w:szCs w:val="20"/>
              </w:rPr>
            </w:pPr>
            <w:r w:rsidRPr="004C5D30">
              <w:rPr>
                <w:rFonts w:ascii="Open Sans" w:hAnsi="Open Sans" w:cs="Open Sans"/>
                <w:color w:val="000000"/>
                <w:sz w:val="20"/>
                <w:szCs w:val="20"/>
              </w:rPr>
              <w:t>-0.04</w:t>
            </w:r>
          </w:p>
        </w:tc>
        <w:tc>
          <w:tcPr>
            <w:tcW w:w="1172" w:type="dxa"/>
            <w:tcBorders>
              <w:top w:val="single" w:sz="4" w:space="0" w:color="459BBC"/>
              <w:bottom w:val="single" w:sz="4" w:space="0" w:color="459BBC"/>
            </w:tcBorders>
            <w:noWrap/>
            <w:vAlign w:val="center"/>
          </w:tcPr>
          <w:p w14:paraId="10BDE316" w14:textId="6E28FE10" w:rsidR="004C5D30" w:rsidRPr="004C5D30" w:rsidRDefault="004C5D30" w:rsidP="004C5D30">
            <w:pPr>
              <w:jc w:val="center"/>
              <w:rPr>
                <w:rFonts w:ascii="Open Sans" w:hAnsi="Open Sans" w:cs="Open Sans"/>
                <w:color w:val="EE0000"/>
                <w:sz w:val="20"/>
                <w:szCs w:val="20"/>
              </w:rPr>
            </w:pPr>
            <w:r w:rsidRPr="004C5D30">
              <w:rPr>
                <w:rFonts w:ascii="Open Sans" w:hAnsi="Open Sans" w:cs="Open Sans"/>
                <w:color w:val="000000"/>
                <w:sz w:val="20"/>
                <w:szCs w:val="20"/>
              </w:rPr>
              <w:t>-0.14</w:t>
            </w:r>
          </w:p>
        </w:tc>
        <w:tc>
          <w:tcPr>
            <w:tcW w:w="1171" w:type="dxa"/>
            <w:tcBorders>
              <w:top w:val="single" w:sz="4" w:space="0" w:color="459BBC"/>
              <w:bottom w:val="single" w:sz="4" w:space="0" w:color="459BBC"/>
              <w:right w:val="dotDotDash" w:sz="4" w:space="0" w:color="459BBC"/>
            </w:tcBorders>
            <w:noWrap/>
            <w:vAlign w:val="center"/>
          </w:tcPr>
          <w:p w14:paraId="5FBD6B01" w14:textId="7865B67A" w:rsidR="004C5D30" w:rsidRPr="004C5D30" w:rsidRDefault="004C5D30" w:rsidP="004C5D30">
            <w:pPr>
              <w:jc w:val="center"/>
              <w:rPr>
                <w:rFonts w:ascii="Open Sans" w:hAnsi="Open Sans" w:cs="Open Sans"/>
                <w:color w:val="EE0000"/>
                <w:sz w:val="20"/>
                <w:szCs w:val="20"/>
              </w:rPr>
            </w:pPr>
            <w:r w:rsidRPr="004C5D30">
              <w:rPr>
                <w:rFonts w:ascii="Open Sans" w:hAnsi="Open Sans" w:cs="Open Sans"/>
                <w:color w:val="000000"/>
                <w:sz w:val="20"/>
                <w:szCs w:val="20"/>
              </w:rPr>
              <w:t>-0.36</w:t>
            </w:r>
          </w:p>
        </w:tc>
        <w:tc>
          <w:tcPr>
            <w:tcW w:w="1172" w:type="dxa"/>
            <w:tcBorders>
              <w:top w:val="single" w:sz="4" w:space="0" w:color="459BBC"/>
              <w:left w:val="dotDotDash" w:sz="4" w:space="0" w:color="459BBC"/>
              <w:bottom w:val="single" w:sz="4" w:space="0" w:color="459BBC"/>
            </w:tcBorders>
            <w:noWrap/>
            <w:vAlign w:val="center"/>
          </w:tcPr>
          <w:p w14:paraId="00BEDF0E" w14:textId="00E1319B"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8 bps</w:t>
            </w:r>
          </w:p>
        </w:tc>
        <w:tc>
          <w:tcPr>
            <w:tcW w:w="1172" w:type="dxa"/>
            <w:tcBorders>
              <w:top w:val="single" w:sz="4" w:space="0" w:color="459BBC"/>
              <w:bottom w:val="single" w:sz="4" w:space="0" w:color="459BBC"/>
            </w:tcBorders>
            <w:noWrap/>
            <w:vAlign w:val="center"/>
          </w:tcPr>
          <w:p w14:paraId="357FDFD2" w14:textId="4AA5223F"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26 bps</w:t>
            </w:r>
          </w:p>
        </w:tc>
        <w:tc>
          <w:tcPr>
            <w:tcW w:w="1146" w:type="dxa"/>
            <w:tcBorders>
              <w:top w:val="single" w:sz="4" w:space="0" w:color="459BBC"/>
              <w:bottom w:val="single" w:sz="4" w:space="0" w:color="459BBC"/>
            </w:tcBorders>
            <w:noWrap/>
            <w:vAlign w:val="center"/>
          </w:tcPr>
          <w:p w14:paraId="05BA5CED" w14:textId="27DC4444" w:rsidR="004C5D30" w:rsidRPr="004C5D30" w:rsidRDefault="004C5D30" w:rsidP="004C5D30">
            <w:pPr>
              <w:jc w:val="center"/>
              <w:rPr>
                <w:rFonts w:ascii="Open Sans" w:hAnsi="Open Sans" w:cs="Open Sans"/>
                <w:sz w:val="20"/>
                <w:szCs w:val="20"/>
              </w:rPr>
            </w:pPr>
            <w:r w:rsidRPr="004C5D30">
              <w:rPr>
                <w:rFonts w:ascii="Open Sans" w:hAnsi="Open Sans" w:cs="Open Sans"/>
                <w:color w:val="000000"/>
                <w:sz w:val="20"/>
                <w:szCs w:val="20"/>
              </w:rPr>
              <w:t>36 bps</w:t>
            </w:r>
          </w:p>
        </w:tc>
        <w:tc>
          <w:tcPr>
            <w:tcW w:w="1198" w:type="dxa"/>
            <w:tcBorders>
              <w:top w:val="single" w:sz="4" w:space="0" w:color="459BBC"/>
              <w:bottom w:val="single" w:sz="4" w:space="0" w:color="459BBC"/>
              <w:right w:val="single" w:sz="4" w:space="0" w:color="459BBC"/>
            </w:tcBorders>
            <w:noWrap/>
            <w:vAlign w:val="center"/>
          </w:tcPr>
          <w:p w14:paraId="598BA2AC" w14:textId="01CEA6F1" w:rsidR="004C5D30" w:rsidRPr="004C5D30" w:rsidRDefault="004C5D30" w:rsidP="004C5D30">
            <w:pPr>
              <w:jc w:val="center"/>
              <w:rPr>
                <w:rFonts w:ascii="Open Sans" w:hAnsi="Open Sans" w:cs="Open Sans"/>
                <w:sz w:val="20"/>
                <w:szCs w:val="20"/>
              </w:rPr>
            </w:pPr>
            <w:r w:rsidRPr="004C5D30">
              <w:rPr>
                <w:rFonts w:ascii="Open Sans" w:hAnsi="Open Sans" w:cs="Open Sans"/>
                <w:color w:val="000000"/>
                <w:sz w:val="20"/>
                <w:szCs w:val="20"/>
              </w:rPr>
              <w:t>58 bps</w:t>
            </w:r>
          </w:p>
        </w:tc>
      </w:tr>
      <w:tr w:rsidR="004C5D30" w:rsidRPr="009B536B" w14:paraId="6C5F526B"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7A9B8B9A" w14:textId="6362CFCD"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 xml:space="preserve">US High Yield </w:t>
            </w:r>
            <w:r w:rsidRPr="00EE494B">
              <w:rPr>
                <w:rFonts w:ascii="Open Sans" w:hAnsi="Open Sans" w:cs="Open Sans"/>
                <w:color w:val="000000"/>
                <w:sz w:val="19"/>
                <w:szCs w:val="19"/>
              </w:rPr>
              <w:t>(Option Adjusted Spread)</w:t>
            </w:r>
          </w:p>
        </w:tc>
        <w:tc>
          <w:tcPr>
            <w:tcW w:w="1171" w:type="dxa"/>
            <w:tcBorders>
              <w:top w:val="single" w:sz="4" w:space="0" w:color="459BBC"/>
              <w:left w:val="dotDotDash" w:sz="4" w:space="0" w:color="459BBC"/>
              <w:bottom w:val="single" w:sz="4" w:space="0" w:color="459BBC"/>
            </w:tcBorders>
            <w:noWrap/>
            <w:vAlign w:val="center"/>
          </w:tcPr>
          <w:p w14:paraId="3C47830A" w14:textId="11E8B25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2.85</w:t>
            </w:r>
          </w:p>
        </w:tc>
        <w:tc>
          <w:tcPr>
            <w:tcW w:w="1172" w:type="dxa"/>
            <w:tcBorders>
              <w:top w:val="single" w:sz="4" w:space="0" w:color="459BBC"/>
              <w:bottom w:val="single" w:sz="4" w:space="0" w:color="459BBC"/>
            </w:tcBorders>
            <w:noWrap/>
            <w:vAlign w:val="center"/>
          </w:tcPr>
          <w:p w14:paraId="1E7AE649" w14:textId="7B6DCE5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2.80</w:t>
            </w:r>
          </w:p>
        </w:tc>
        <w:tc>
          <w:tcPr>
            <w:tcW w:w="1172" w:type="dxa"/>
            <w:tcBorders>
              <w:top w:val="single" w:sz="4" w:space="0" w:color="459BBC"/>
              <w:bottom w:val="single" w:sz="4" w:space="0" w:color="459BBC"/>
            </w:tcBorders>
            <w:noWrap/>
            <w:vAlign w:val="center"/>
          </w:tcPr>
          <w:p w14:paraId="6BE13537" w14:textId="09530F0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2.86</w:t>
            </w:r>
          </w:p>
        </w:tc>
        <w:tc>
          <w:tcPr>
            <w:tcW w:w="1172" w:type="dxa"/>
            <w:tcBorders>
              <w:top w:val="single" w:sz="4" w:space="0" w:color="459BBC"/>
              <w:bottom w:val="single" w:sz="4" w:space="0" w:color="459BBC"/>
            </w:tcBorders>
            <w:noWrap/>
            <w:vAlign w:val="center"/>
          </w:tcPr>
          <w:p w14:paraId="39C36FC0" w14:textId="75EC364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3.94</w:t>
            </w:r>
          </w:p>
        </w:tc>
        <w:tc>
          <w:tcPr>
            <w:tcW w:w="1171" w:type="dxa"/>
            <w:tcBorders>
              <w:top w:val="single" w:sz="4" w:space="0" w:color="459BBC"/>
              <w:bottom w:val="single" w:sz="4" w:space="0" w:color="459BBC"/>
              <w:right w:val="dotDotDash" w:sz="4" w:space="0" w:color="459BBC"/>
            </w:tcBorders>
            <w:noWrap/>
            <w:vAlign w:val="center"/>
          </w:tcPr>
          <w:p w14:paraId="19A2DA77" w14:textId="5C1BB4A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2.88</w:t>
            </w:r>
          </w:p>
        </w:tc>
        <w:tc>
          <w:tcPr>
            <w:tcW w:w="1172" w:type="dxa"/>
            <w:tcBorders>
              <w:top w:val="single" w:sz="4" w:space="0" w:color="459BBC"/>
              <w:left w:val="dotDotDash" w:sz="4" w:space="0" w:color="459BBC"/>
              <w:bottom w:val="single" w:sz="4" w:space="0" w:color="459BBC"/>
            </w:tcBorders>
            <w:noWrap/>
            <w:vAlign w:val="center"/>
          </w:tcPr>
          <w:p w14:paraId="17A3C62C" w14:textId="4DDD8CBD" w:rsidR="004C5D30" w:rsidRPr="004C5D30" w:rsidRDefault="004C5D30" w:rsidP="004C5D30">
            <w:pPr>
              <w:jc w:val="center"/>
              <w:rPr>
                <w:rFonts w:ascii="Open Sans" w:hAnsi="Open Sans" w:cs="Open Sans"/>
                <w:color w:val="000000"/>
                <w:sz w:val="20"/>
                <w:szCs w:val="20"/>
                <w:lang w:val="en-CA"/>
              </w:rPr>
            </w:pPr>
            <w:r w:rsidRPr="004C5D30">
              <w:rPr>
                <w:rFonts w:ascii="Open Sans" w:hAnsi="Open Sans" w:cs="Open Sans"/>
                <w:color w:val="000000"/>
                <w:sz w:val="20"/>
                <w:szCs w:val="20"/>
              </w:rPr>
              <w:t>5 bps</w:t>
            </w:r>
          </w:p>
        </w:tc>
        <w:tc>
          <w:tcPr>
            <w:tcW w:w="1172" w:type="dxa"/>
            <w:tcBorders>
              <w:top w:val="single" w:sz="4" w:space="0" w:color="459BBC"/>
              <w:bottom w:val="single" w:sz="4" w:space="0" w:color="459BBC"/>
            </w:tcBorders>
            <w:noWrap/>
            <w:vAlign w:val="center"/>
          </w:tcPr>
          <w:p w14:paraId="00F64FA5" w14:textId="3C8FEC50"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FF0000"/>
                <w:sz w:val="20"/>
                <w:szCs w:val="20"/>
              </w:rPr>
              <w:t>(1 bps)</w:t>
            </w:r>
          </w:p>
        </w:tc>
        <w:tc>
          <w:tcPr>
            <w:tcW w:w="1146" w:type="dxa"/>
            <w:tcBorders>
              <w:top w:val="single" w:sz="4" w:space="0" w:color="459BBC"/>
              <w:bottom w:val="single" w:sz="4" w:space="0" w:color="459BBC"/>
            </w:tcBorders>
            <w:noWrap/>
            <w:vAlign w:val="center"/>
          </w:tcPr>
          <w:p w14:paraId="045A0F43" w14:textId="01E85F9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(109 bps)</w:t>
            </w:r>
          </w:p>
        </w:tc>
        <w:tc>
          <w:tcPr>
            <w:tcW w:w="1198" w:type="dxa"/>
            <w:tcBorders>
              <w:top w:val="single" w:sz="4" w:space="0" w:color="459BBC"/>
              <w:bottom w:val="single" w:sz="4" w:space="0" w:color="459BBC"/>
              <w:right w:val="single" w:sz="4" w:space="0" w:color="459BBC"/>
            </w:tcBorders>
            <w:noWrap/>
            <w:vAlign w:val="center"/>
          </w:tcPr>
          <w:p w14:paraId="0E08382A" w14:textId="49C2768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(3 bps)</w:t>
            </w:r>
          </w:p>
        </w:tc>
      </w:tr>
      <w:tr w:rsidR="004C5D30" w:rsidRPr="009B536B" w14:paraId="0FD6BC62"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1FE9C56C" w14:textId="615347D7"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USD/CAD</w:t>
            </w:r>
          </w:p>
        </w:tc>
        <w:tc>
          <w:tcPr>
            <w:tcW w:w="1171" w:type="dxa"/>
            <w:tcBorders>
              <w:top w:val="single" w:sz="4" w:space="0" w:color="459BBC"/>
              <w:left w:val="dotDotDash" w:sz="4" w:space="0" w:color="459BBC"/>
              <w:bottom w:val="single" w:sz="4" w:space="0" w:color="459BBC"/>
            </w:tcBorders>
            <w:noWrap/>
            <w:vAlign w:val="center"/>
          </w:tcPr>
          <w:p w14:paraId="66477129" w14:textId="3CFE3AA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$1.40</w:t>
            </w:r>
          </w:p>
        </w:tc>
        <w:tc>
          <w:tcPr>
            <w:tcW w:w="1172" w:type="dxa"/>
            <w:tcBorders>
              <w:top w:val="single" w:sz="4" w:space="0" w:color="459BBC"/>
              <w:bottom w:val="single" w:sz="4" w:space="0" w:color="459BBC"/>
            </w:tcBorders>
            <w:noWrap/>
            <w:vAlign w:val="center"/>
          </w:tcPr>
          <w:p w14:paraId="5DCD232F" w14:textId="01F21A3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$1.39</w:t>
            </w:r>
          </w:p>
        </w:tc>
        <w:tc>
          <w:tcPr>
            <w:tcW w:w="1172" w:type="dxa"/>
            <w:tcBorders>
              <w:top w:val="single" w:sz="4" w:space="0" w:color="459BBC"/>
              <w:bottom w:val="single" w:sz="4" w:space="0" w:color="459BBC"/>
            </w:tcBorders>
            <w:noWrap/>
            <w:vAlign w:val="center"/>
          </w:tcPr>
          <w:p w14:paraId="21CBB47E" w14:textId="3946AE5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$1.39</w:t>
            </w:r>
          </w:p>
        </w:tc>
        <w:tc>
          <w:tcPr>
            <w:tcW w:w="1172" w:type="dxa"/>
            <w:tcBorders>
              <w:top w:val="single" w:sz="4" w:space="0" w:color="459BBC"/>
              <w:bottom w:val="single" w:sz="4" w:space="0" w:color="459BBC"/>
            </w:tcBorders>
            <w:noWrap/>
            <w:vAlign w:val="center"/>
          </w:tcPr>
          <w:p w14:paraId="1ED80743" w14:textId="52FE516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$1.38</w:t>
            </w:r>
          </w:p>
        </w:tc>
        <w:tc>
          <w:tcPr>
            <w:tcW w:w="1171" w:type="dxa"/>
            <w:tcBorders>
              <w:top w:val="single" w:sz="4" w:space="0" w:color="459BBC"/>
              <w:bottom w:val="single" w:sz="4" w:space="0" w:color="459BBC"/>
              <w:right w:val="dotDotDash" w:sz="4" w:space="0" w:color="459BBC"/>
            </w:tcBorders>
            <w:noWrap/>
            <w:vAlign w:val="center"/>
          </w:tcPr>
          <w:p w14:paraId="609B65BC" w14:textId="5A89567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$1.39</w:t>
            </w:r>
          </w:p>
        </w:tc>
        <w:tc>
          <w:tcPr>
            <w:tcW w:w="1172" w:type="dxa"/>
            <w:tcBorders>
              <w:top w:val="single" w:sz="4" w:space="0" w:color="459BBC"/>
              <w:left w:val="dotDotDash" w:sz="4" w:space="0" w:color="459BBC"/>
              <w:bottom w:val="single" w:sz="4" w:space="0" w:color="459BBC"/>
            </w:tcBorders>
            <w:noWrap/>
            <w:vAlign w:val="center"/>
          </w:tcPr>
          <w:p w14:paraId="449AD9AE" w14:textId="3B674383"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0.65% </w:t>
            </w:r>
          </w:p>
        </w:tc>
        <w:tc>
          <w:tcPr>
            <w:tcW w:w="1172" w:type="dxa"/>
            <w:tcBorders>
              <w:top w:val="single" w:sz="4" w:space="0" w:color="459BBC"/>
              <w:bottom w:val="single" w:sz="4" w:space="0" w:color="459BBC"/>
            </w:tcBorders>
            <w:noWrap/>
            <w:vAlign w:val="center"/>
          </w:tcPr>
          <w:p w14:paraId="039DAFC5" w14:textId="226C5D8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1.13% </w:t>
            </w:r>
          </w:p>
        </w:tc>
        <w:tc>
          <w:tcPr>
            <w:tcW w:w="1146" w:type="dxa"/>
            <w:tcBorders>
              <w:top w:val="single" w:sz="4" w:space="0" w:color="459BBC"/>
              <w:bottom w:val="single" w:sz="4" w:space="0" w:color="459BBC"/>
            </w:tcBorders>
            <w:noWrap/>
            <w:vAlign w:val="center"/>
          </w:tcPr>
          <w:p w14:paraId="536CDDF3" w14:textId="46D27C5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1.54% </w:t>
            </w:r>
          </w:p>
        </w:tc>
        <w:tc>
          <w:tcPr>
            <w:tcW w:w="1198" w:type="dxa"/>
            <w:tcBorders>
              <w:top w:val="single" w:sz="4" w:space="0" w:color="459BBC"/>
              <w:bottom w:val="single" w:sz="4" w:space="0" w:color="459BBC"/>
              <w:right w:val="single" w:sz="4" w:space="0" w:color="459BBC"/>
            </w:tcBorders>
            <w:noWrap/>
            <w:vAlign w:val="center"/>
          </w:tcPr>
          <w:p w14:paraId="128B94C3" w14:textId="4D51F941"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0.56% </w:t>
            </w:r>
          </w:p>
        </w:tc>
      </w:tr>
      <w:tr w:rsidR="004C5D30" w:rsidRPr="009B536B" w14:paraId="13408603"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3C05B047" w14:textId="0A45BD31"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USD/Euro</w:t>
            </w:r>
          </w:p>
        </w:tc>
        <w:tc>
          <w:tcPr>
            <w:tcW w:w="1171" w:type="dxa"/>
            <w:tcBorders>
              <w:top w:val="single" w:sz="4" w:space="0" w:color="459BBC"/>
              <w:left w:val="dotDotDash" w:sz="4" w:space="0" w:color="459BBC"/>
              <w:bottom w:val="single" w:sz="4" w:space="0" w:color="459BBC"/>
            </w:tcBorders>
            <w:noWrap/>
            <w:vAlign w:val="center"/>
          </w:tcPr>
          <w:p w14:paraId="414861DE" w14:textId="4D3977F6"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€ 0.87</w:t>
            </w:r>
          </w:p>
        </w:tc>
        <w:tc>
          <w:tcPr>
            <w:tcW w:w="1172" w:type="dxa"/>
            <w:tcBorders>
              <w:top w:val="single" w:sz="4" w:space="0" w:color="459BBC"/>
              <w:bottom w:val="single" w:sz="4" w:space="0" w:color="459BBC"/>
            </w:tcBorders>
            <w:noWrap/>
            <w:vAlign w:val="center"/>
          </w:tcPr>
          <w:p w14:paraId="10DF65D5" w14:textId="33E05D1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€ 0.85</w:t>
            </w:r>
          </w:p>
        </w:tc>
        <w:tc>
          <w:tcPr>
            <w:tcW w:w="1172" w:type="dxa"/>
            <w:tcBorders>
              <w:top w:val="single" w:sz="4" w:space="0" w:color="459BBC"/>
              <w:bottom w:val="single" w:sz="4" w:space="0" w:color="459BBC"/>
            </w:tcBorders>
            <w:noWrap/>
            <w:vAlign w:val="center"/>
          </w:tcPr>
          <w:p w14:paraId="65524A3C" w14:textId="207E354B"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€ 0.88</w:t>
            </w:r>
          </w:p>
        </w:tc>
        <w:tc>
          <w:tcPr>
            <w:tcW w:w="1172" w:type="dxa"/>
            <w:tcBorders>
              <w:top w:val="single" w:sz="4" w:space="0" w:color="459BBC"/>
              <w:bottom w:val="single" w:sz="4" w:space="0" w:color="459BBC"/>
            </w:tcBorders>
            <w:noWrap/>
            <w:vAlign w:val="center"/>
          </w:tcPr>
          <w:p w14:paraId="20F6BFEF" w14:textId="3C5170C4"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€ 0.88</w:t>
            </w:r>
          </w:p>
        </w:tc>
        <w:tc>
          <w:tcPr>
            <w:tcW w:w="1171" w:type="dxa"/>
            <w:tcBorders>
              <w:top w:val="single" w:sz="4" w:space="0" w:color="459BBC"/>
              <w:bottom w:val="single" w:sz="4" w:space="0" w:color="459BBC"/>
              <w:right w:val="dotDotDash" w:sz="4" w:space="0" w:color="459BBC"/>
            </w:tcBorders>
            <w:noWrap/>
            <w:vAlign w:val="center"/>
          </w:tcPr>
          <w:p w14:paraId="352DE906" w14:textId="49F1F75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€ 0.92</w:t>
            </w:r>
          </w:p>
        </w:tc>
        <w:tc>
          <w:tcPr>
            <w:tcW w:w="1172" w:type="dxa"/>
            <w:tcBorders>
              <w:top w:val="single" w:sz="4" w:space="0" w:color="459BBC"/>
              <w:left w:val="dotDotDash" w:sz="4" w:space="0" w:color="459BBC"/>
              <w:bottom w:val="single" w:sz="4" w:space="0" w:color="459BBC"/>
            </w:tcBorders>
            <w:noWrap/>
            <w:vAlign w:val="center"/>
          </w:tcPr>
          <w:p w14:paraId="3D5163AC" w14:textId="6C67392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1.71% </w:t>
            </w:r>
          </w:p>
        </w:tc>
        <w:tc>
          <w:tcPr>
            <w:tcW w:w="1172" w:type="dxa"/>
            <w:tcBorders>
              <w:top w:val="single" w:sz="4" w:space="0" w:color="459BBC"/>
              <w:bottom w:val="single" w:sz="4" w:space="0" w:color="459BBC"/>
            </w:tcBorders>
            <w:noWrap/>
            <w:vAlign w:val="center"/>
          </w:tcPr>
          <w:p w14:paraId="766984D0" w14:textId="6D257F5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(1.04%)</w:t>
            </w:r>
          </w:p>
        </w:tc>
        <w:tc>
          <w:tcPr>
            <w:tcW w:w="1146" w:type="dxa"/>
            <w:tcBorders>
              <w:top w:val="single" w:sz="4" w:space="0" w:color="459BBC"/>
              <w:bottom w:val="single" w:sz="4" w:space="0" w:color="459BBC"/>
            </w:tcBorders>
            <w:noWrap/>
            <w:vAlign w:val="center"/>
          </w:tcPr>
          <w:p w14:paraId="49191CC4" w14:textId="7FBB624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(1.79%)</w:t>
            </w:r>
          </w:p>
        </w:tc>
        <w:tc>
          <w:tcPr>
            <w:tcW w:w="1198" w:type="dxa"/>
            <w:tcBorders>
              <w:top w:val="single" w:sz="4" w:space="0" w:color="459BBC"/>
              <w:bottom w:val="single" w:sz="4" w:space="0" w:color="459BBC"/>
              <w:right w:val="single" w:sz="4" w:space="0" w:color="459BBC"/>
            </w:tcBorders>
            <w:noWrap/>
            <w:vAlign w:val="center"/>
          </w:tcPr>
          <w:p w14:paraId="6371791F" w14:textId="57CB3A7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(5.66%)</w:t>
            </w:r>
          </w:p>
        </w:tc>
      </w:tr>
      <w:tr w:rsidR="004C5D30" w:rsidRPr="009B536B" w14:paraId="1A7CD6D8"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2D61DC36" w14:textId="7D3A4338"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USD/Yen</w:t>
            </w:r>
          </w:p>
        </w:tc>
        <w:tc>
          <w:tcPr>
            <w:tcW w:w="1171" w:type="dxa"/>
            <w:tcBorders>
              <w:top w:val="single" w:sz="4" w:space="0" w:color="459BBC"/>
              <w:left w:val="dotDotDash" w:sz="4" w:space="0" w:color="459BBC"/>
              <w:bottom w:val="single" w:sz="4" w:space="0" w:color="459BBC"/>
            </w:tcBorders>
            <w:noWrap/>
            <w:vAlign w:val="center"/>
          </w:tcPr>
          <w:p w14:paraId="1E49C329" w14:textId="49036B78"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¥154.01</w:t>
            </w:r>
          </w:p>
        </w:tc>
        <w:tc>
          <w:tcPr>
            <w:tcW w:w="1172" w:type="dxa"/>
            <w:tcBorders>
              <w:top w:val="single" w:sz="4" w:space="0" w:color="459BBC"/>
              <w:bottom w:val="single" w:sz="4" w:space="0" w:color="459BBC"/>
            </w:tcBorders>
            <w:noWrap/>
            <w:vAlign w:val="center"/>
          </w:tcPr>
          <w:p w14:paraId="0ED0B093" w14:textId="3646C76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¥147.92</w:t>
            </w:r>
          </w:p>
        </w:tc>
        <w:tc>
          <w:tcPr>
            <w:tcW w:w="1172" w:type="dxa"/>
            <w:tcBorders>
              <w:top w:val="single" w:sz="4" w:space="0" w:color="459BBC"/>
              <w:bottom w:val="single" w:sz="4" w:space="0" w:color="459BBC"/>
            </w:tcBorders>
            <w:noWrap/>
            <w:vAlign w:val="center"/>
          </w:tcPr>
          <w:p w14:paraId="77129F1C" w14:textId="666131A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¥150.76</w:t>
            </w:r>
          </w:p>
        </w:tc>
        <w:tc>
          <w:tcPr>
            <w:tcW w:w="1172" w:type="dxa"/>
            <w:tcBorders>
              <w:top w:val="single" w:sz="4" w:space="0" w:color="459BBC"/>
              <w:bottom w:val="single" w:sz="4" w:space="0" w:color="459BBC"/>
            </w:tcBorders>
            <w:noWrap/>
            <w:vAlign w:val="center"/>
          </w:tcPr>
          <w:p w14:paraId="206EFFB7" w14:textId="35D369E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¥143.07</w:t>
            </w:r>
          </w:p>
        </w:tc>
        <w:tc>
          <w:tcPr>
            <w:tcW w:w="1171" w:type="dxa"/>
            <w:tcBorders>
              <w:top w:val="single" w:sz="4" w:space="0" w:color="459BBC"/>
              <w:bottom w:val="single" w:sz="4" w:space="0" w:color="459BBC"/>
              <w:right w:val="dotDotDash" w:sz="4" w:space="0" w:color="459BBC"/>
            </w:tcBorders>
            <w:noWrap/>
            <w:vAlign w:val="center"/>
          </w:tcPr>
          <w:p w14:paraId="5D54E3C6" w14:textId="31F9D9AA"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¥152.03</w:t>
            </w:r>
          </w:p>
        </w:tc>
        <w:tc>
          <w:tcPr>
            <w:tcW w:w="1172" w:type="dxa"/>
            <w:tcBorders>
              <w:top w:val="single" w:sz="4" w:space="0" w:color="459BBC"/>
              <w:left w:val="dotDotDash" w:sz="4" w:space="0" w:color="459BBC"/>
              <w:bottom w:val="single" w:sz="4" w:space="0" w:color="459BBC"/>
            </w:tcBorders>
            <w:noWrap/>
            <w:vAlign w:val="center"/>
          </w:tcPr>
          <w:p w14:paraId="1CB30A09" w14:textId="3EB74A4D"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4.12% </w:t>
            </w:r>
          </w:p>
        </w:tc>
        <w:tc>
          <w:tcPr>
            <w:tcW w:w="1172" w:type="dxa"/>
            <w:tcBorders>
              <w:top w:val="single" w:sz="4" w:space="0" w:color="459BBC"/>
              <w:bottom w:val="single" w:sz="4" w:space="0" w:color="459BBC"/>
            </w:tcBorders>
            <w:noWrap/>
            <w:vAlign w:val="center"/>
          </w:tcPr>
          <w:p w14:paraId="1B94AC5A" w14:textId="57D7A7A3"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2.16% </w:t>
            </w:r>
          </w:p>
        </w:tc>
        <w:tc>
          <w:tcPr>
            <w:tcW w:w="1146" w:type="dxa"/>
            <w:tcBorders>
              <w:top w:val="single" w:sz="4" w:space="0" w:color="459BBC"/>
              <w:bottom w:val="single" w:sz="4" w:space="0" w:color="459BBC"/>
            </w:tcBorders>
            <w:noWrap/>
            <w:vAlign w:val="center"/>
          </w:tcPr>
          <w:p w14:paraId="31A4AB33" w14:textId="4AAF1301"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7.65% </w:t>
            </w:r>
          </w:p>
        </w:tc>
        <w:tc>
          <w:tcPr>
            <w:tcW w:w="1198" w:type="dxa"/>
            <w:tcBorders>
              <w:top w:val="single" w:sz="4" w:space="0" w:color="459BBC"/>
              <w:bottom w:val="single" w:sz="4" w:space="0" w:color="459BBC"/>
              <w:right w:val="single" w:sz="4" w:space="0" w:color="459BBC"/>
            </w:tcBorders>
            <w:noWrap/>
            <w:vAlign w:val="center"/>
          </w:tcPr>
          <w:p w14:paraId="15488757" w14:textId="6E02AACB"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1.30% </w:t>
            </w:r>
          </w:p>
        </w:tc>
      </w:tr>
      <w:tr w:rsidR="004C5D30" w:rsidRPr="009B536B" w14:paraId="3CF6D0E3"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424AE5D3" w14:textId="6F261BEF"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Gold</w:t>
            </w:r>
          </w:p>
        </w:tc>
        <w:tc>
          <w:tcPr>
            <w:tcW w:w="1171" w:type="dxa"/>
            <w:tcBorders>
              <w:top w:val="single" w:sz="4" w:space="0" w:color="459BBC"/>
              <w:left w:val="dotDotDash" w:sz="4" w:space="0" w:color="459BBC"/>
              <w:bottom w:val="single" w:sz="4" w:space="0" w:color="459BBC"/>
            </w:tcBorders>
            <w:noWrap/>
            <w:vAlign w:val="center"/>
          </w:tcPr>
          <w:p w14:paraId="4E5FA2D2" w14:textId="17928A8D"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$3,996.50</w:t>
            </w:r>
          </w:p>
        </w:tc>
        <w:tc>
          <w:tcPr>
            <w:tcW w:w="1172" w:type="dxa"/>
            <w:tcBorders>
              <w:top w:val="single" w:sz="4" w:space="0" w:color="459BBC"/>
              <w:bottom w:val="single" w:sz="4" w:space="0" w:color="459BBC"/>
            </w:tcBorders>
            <w:noWrap/>
            <w:vAlign w:val="center"/>
          </w:tcPr>
          <w:p w14:paraId="45F643F5" w14:textId="2372875B"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$3,873.20</w:t>
            </w:r>
          </w:p>
        </w:tc>
        <w:tc>
          <w:tcPr>
            <w:tcW w:w="1172" w:type="dxa"/>
            <w:tcBorders>
              <w:top w:val="single" w:sz="4" w:space="0" w:color="459BBC"/>
              <w:bottom w:val="single" w:sz="4" w:space="0" w:color="459BBC"/>
            </w:tcBorders>
            <w:noWrap/>
            <w:vAlign w:val="center"/>
          </w:tcPr>
          <w:p w14:paraId="1399D68A" w14:textId="7CFE5D8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$3,348.60</w:t>
            </w:r>
          </w:p>
        </w:tc>
        <w:tc>
          <w:tcPr>
            <w:tcW w:w="1172" w:type="dxa"/>
            <w:tcBorders>
              <w:top w:val="single" w:sz="4" w:space="0" w:color="459BBC"/>
              <w:bottom w:val="single" w:sz="4" w:space="0" w:color="459BBC"/>
            </w:tcBorders>
            <w:noWrap/>
            <w:vAlign w:val="center"/>
          </w:tcPr>
          <w:p w14:paraId="0FC81905" w14:textId="4037C44F"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$3,319.10</w:t>
            </w:r>
          </w:p>
        </w:tc>
        <w:tc>
          <w:tcPr>
            <w:tcW w:w="1171" w:type="dxa"/>
            <w:tcBorders>
              <w:top w:val="single" w:sz="4" w:space="0" w:color="459BBC"/>
              <w:bottom w:val="single" w:sz="4" w:space="0" w:color="459BBC"/>
              <w:right w:val="dotDotDash" w:sz="4" w:space="0" w:color="459BBC"/>
            </w:tcBorders>
            <w:noWrap/>
            <w:vAlign w:val="center"/>
          </w:tcPr>
          <w:p w14:paraId="0A7480BA" w14:textId="71E9E5F7"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$2,749.30</w:t>
            </w:r>
          </w:p>
        </w:tc>
        <w:tc>
          <w:tcPr>
            <w:tcW w:w="1172" w:type="dxa"/>
            <w:tcBorders>
              <w:top w:val="single" w:sz="4" w:space="0" w:color="459BBC"/>
              <w:left w:val="dotDotDash" w:sz="4" w:space="0" w:color="459BBC"/>
              <w:bottom w:val="single" w:sz="4" w:space="0" w:color="459BBC"/>
            </w:tcBorders>
            <w:noWrap/>
            <w:vAlign w:val="center"/>
          </w:tcPr>
          <w:p w14:paraId="327B23FB" w14:textId="5F9B07FD"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3.18% </w:t>
            </w:r>
          </w:p>
        </w:tc>
        <w:tc>
          <w:tcPr>
            <w:tcW w:w="1172" w:type="dxa"/>
            <w:tcBorders>
              <w:top w:val="single" w:sz="4" w:space="0" w:color="459BBC"/>
              <w:bottom w:val="single" w:sz="4" w:space="0" w:color="459BBC"/>
            </w:tcBorders>
            <w:noWrap/>
            <w:vAlign w:val="center"/>
          </w:tcPr>
          <w:p w14:paraId="392027CE" w14:textId="4818D7C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19.35% </w:t>
            </w:r>
          </w:p>
        </w:tc>
        <w:tc>
          <w:tcPr>
            <w:tcW w:w="1146" w:type="dxa"/>
            <w:tcBorders>
              <w:top w:val="single" w:sz="4" w:space="0" w:color="459BBC"/>
              <w:bottom w:val="single" w:sz="4" w:space="0" w:color="459BBC"/>
            </w:tcBorders>
            <w:noWrap/>
            <w:vAlign w:val="center"/>
          </w:tcPr>
          <w:p w14:paraId="21A3D896" w14:textId="0470C981"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20.41% </w:t>
            </w:r>
          </w:p>
        </w:tc>
        <w:tc>
          <w:tcPr>
            <w:tcW w:w="1198" w:type="dxa"/>
            <w:tcBorders>
              <w:top w:val="single" w:sz="4" w:space="0" w:color="459BBC"/>
              <w:bottom w:val="single" w:sz="4" w:space="0" w:color="459BBC"/>
              <w:right w:val="single" w:sz="4" w:space="0" w:color="459BBC"/>
            </w:tcBorders>
            <w:noWrap/>
            <w:vAlign w:val="center"/>
          </w:tcPr>
          <w:p w14:paraId="25B8C8A9" w14:textId="6C3932CC"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 xml:space="preserve">45.36% </w:t>
            </w:r>
          </w:p>
        </w:tc>
      </w:tr>
      <w:tr w:rsidR="004C5D30" w:rsidRPr="009B536B" w14:paraId="552C6C9F"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hideMark/>
          </w:tcPr>
          <w:p w14:paraId="63B877F8" w14:textId="46CF5C89" w:rsidR="004C5D30" w:rsidRPr="007125BB" w:rsidRDefault="004C5D30" w:rsidP="004C5D30">
            <w:pPr>
              <w:rPr>
                <w:rFonts w:ascii="Open Sans" w:hAnsi="Open Sans" w:cs="Open Sans"/>
                <w:color w:val="000000"/>
                <w:sz w:val="20"/>
                <w:szCs w:val="20"/>
              </w:rPr>
            </w:pPr>
            <w:r>
              <w:rPr>
                <w:rFonts w:ascii="Open Sans" w:hAnsi="Open Sans" w:cs="Open Sans"/>
                <w:color w:val="000000"/>
                <w:sz w:val="20"/>
                <w:szCs w:val="20"/>
              </w:rPr>
              <w:t>Oil (WTI)</w:t>
            </w:r>
          </w:p>
        </w:tc>
        <w:tc>
          <w:tcPr>
            <w:tcW w:w="1171" w:type="dxa"/>
            <w:tcBorders>
              <w:top w:val="single" w:sz="4" w:space="0" w:color="459BBC"/>
              <w:left w:val="dotDotDash" w:sz="4" w:space="0" w:color="459BBC"/>
              <w:bottom w:val="single" w:sz="4" w:space="0" w:color="459BBC"/>
            </w:tcBorders>
            <w:noWrap/>
            <w:vAlign w:val="center"/>
          </w:tcPr>
          <w:p w14:paraId="36DF4753" w14:textId="6EA5464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$60.98</w:t>
            </w:r>
          </w:p>
        </w:tc>
        <w:tc>
          <w:tcPr>
            <w:tcW w:w="1172" w:type="dxa"/>
            <w:tcBorders>
              <w:top w:val="single" w:sz="4" w:space="0" w:color="459BBC"/>
              <w:bottom w:val="single" w:sz="4" w:space="0" w:color="459BBC"/>
            </w:tcBorders>
            <w:noWrap/>
            <w:vAlign w:val="center"/>
          </w:tcPr>
          <w:p w14:paraId="2EC01A03" w14:textId="78328F12"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$62.37</w:t>
            </w:r>
          </w:p>
        </w:tc>
        <w:tc>
          <w:tcPr>
            <w:tcW w:w="1172" w:type="dxa"/>
            <w:tcBorders>
              <w:top w:val="single" w:sz="4" w:space="0" w:color="459BBC"/>
              <w:bottom w:val="single" w:sz="4" w:space="0" w:color="459BBC"/>
            </w:tcBorders>
            <w:noWrap/>
            <w:vAlign w:val="center"/>
          </w:tcPr>
          <w:p w14:paraId="1AB2BD48" w14:textId="27B0E5CE"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$69.26</w:t>
            </w:r>
          </w:p>
        </w:tc>
        <w:tc>
          <w:tcPr>
            <w:tcW w:w="1172" w:type="dxa"/>
            <w:tcBorders>
              <w:top w:val="single" w:sz="4" w:space="0" w:color="459BBC"/>
              <w:bottom w:val="single" w:sz="4" w:space="0" w:color="459BBC"/>
            </w:tcBorders>
            <w:noWrap/>
            <w:vAlign w:val="center"/>
          </w:tcPr>
          <w:p w14:paraId="561444FA" w14:textId="13229C7C"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$58.21</w:t>
            </w:r>
          </w:p>
        </w:tc>
        <w:tc>
          <w:tcPr>
            <w:tcW w:w="1171" w:type="dxa"/>
            <w:tcBorders>
              <w:top w:val="single" w:sz="4" w:space="0" w:color="459BBC"/>
              <w:bottom w:val="single" w:sz="4" w:space="0" w:color="459BBC"/>
              <w:right w:val="dotDotDash" w:sz="4" w:space="0" w:color="459BBC"/>
            </w:tcBorders>
            <w:noWrap/>
            <w:vAlign w:val="center"/>
          </w:tcPr>
          <w:p w14:paraId="62A71225" w14:textId="0FEB7CD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$68.81</w:t>
            </w:r>
          </w:p>
        </w:tc>
        <w:tc>
          <w:tcPr>
            <w:tcW w:w="1172" w:type="dxa"/>
            <w:tcBorders>
              <w:top w:val="single" w:sz="4" w:space="0" w:color="459BBC"/>
              <w:left w:val="dotDotDash" w:sz="4" w:space="0" w:color="459BBC"/>
              <w:bottom w:val="single" w:sz="4" w:space="0" w:color="459BBC"/>
            </w:tcBorders>
            <w:noWrap/>
            <w:vAlign w:val="center"/>
          </w:tcPr>
          <w:p w14:paraId="3E7001CA" w14:textId="1148E53A"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FF0000"/>
                <w:sz w:val="20"/>
                <w:szCs w:val="20"/>
              </w:rPr>
              <w:t>(2.23%)</w:t>
            </w:r>
          </w:p>
        </w:tc>
        <w:tc>
          <w:tcPr>
            <w:tcW w:w="1172" w:type="dxa"/>
            <w:tcBorders>
              <w:top w:val="single" w:sz="4" w:space="0" w:color="459BBC"/>
              <w:bottom w:val="single" w:sz="4" w:space="0" w:color="459BBC"/>
            </w:tcBorders>
            <w:noWrap/>
            <w:vAlign w:val="center"/>
          </w:tcPr>
          <w:p w14:paraId="6A016EE2" w14:textId="5BAA5D70"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FF0000"/>
                <w:sz w:val="20"/>
                <w:szCs w:val="20"/>
              </w:rPr>
              <w:t>(11.95%)</w:t>
            </w:r>
          </w:p>
        </w:tc>
        <w:tc>
          <w:tcPr>
            <w:tcW w:w="1146" w:type="dxa"/>
            <w:tcBorders>
              <w:top w:val="single" w:sz="4" w:space="0" w:color="459BBC"/>
              <w:bottom w:val="single" w:sz="4" w:space="0" w:color="459BBC"/>
            </w:tcBorders>
            <w:noWrap/>
            <w:vAlign w:val="center"/>
          </w:tcPr>
          <w:p w14:paraId="5407BF66" w14:textId="7E84FE64"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4.76% </w:t>
            </w:r>
          </w:p>
        </w:tc>
        <w:tc>
          <w:tcPr>
            <w:tcW w:w="1198" w:type="dxa"/>
            <w:tcBorders>
              <w:top w:val="single" w:sz="4" w:space="0" w:color="459BBC"/>
              <w:bottom w:val="single" w:sz="4" w:space="0" w:color="459BBC"/>
              <w:right w:val="single" w:sz="4" w:space="0" w:color="459BBC"/>
            </w:tcBorders>
            <w:noWrap/>
            <w:vAlign w:val="center"/>
          </w:tcPr>
          <w:p w14:paraId="48468A17" w14:textId="2335122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(11.38%)</w:t>
            </w:r>
          </w:p>
        </w:tc>
      </w:tr>
      <w:tr w:rsidR="004C5D30" w:rsidRPr="009B536B" w14:paraId="1522254F" w14:textId="77777777" w:rsidTr="00AC76F5">
        <w:trPr>
          <w:trHeight w:val="341"/>
        </w:trPr>
        <w:tc>
          <w:tcPr>
            <w:tcW w:w="3835" w:type="dxa"/>
            <w:tcBorders>
              <w:top w:val="single" w:sz="4" w:space="0" w:color="459BBC"/>
              <w:left w:val="single" w:sz="4" w:space="0" w:color="459BBC"/>
              <w:bottom w:val="single" w:sz="4" w:space="0" w:color="459BBC"/>
              <w:right w:val="dotDotDash" w:sz="4" w:space="0" w:color="459BBC"/>
            </w:tcBorders>
            <w:noWrap/>
            <w:vAlign w:val="center"/>
          </w:tcPr>
          <w:p w14:paraId="58894B43" w14:textId="3C0CE660" w:rsidR="004C5D30" w:rsidRDefault="004C5D30" w:rsidP="004C5D30">
            <w:pPr>
              <w:rPr>
                <w:rFonts w:ascii="Open Sans" w:hAnsi="Open Sans" w:cs="Open Sans"/>
                <w:color w:val="000000"/>
                <w:sz w:val="20"/>
                <w:szCs w:val="20"/>
              </w:rPr>
            </w:pPr>
            <w:r>
              <w:rPr>
                <w:rFonts w:ascii="Open Sans" w:hAnsi="Open Sans" w:cs="Open Sans"/>
                <w:color w:val="000000"/>
                <w:sz w:val="20"/>
                <w:szCs w:val="20"/>
              </w:rPr>
              <w:t>CBOE Volatility Index (VIX)</w:t>
            </w:r>
          </w:p>
        </w:tc>
        <w:tc>
          <w:tcPr>
            <w:tcW w:w="1171" w:type="dxa"/>
            <w:tcBorders>
              <w:top w:val="single" w:sz="4" w:space="0" w:color="459BBC"/>
              <w:left w:val="dotDotDash" w:sz="4" w:space="0" w:color="459BBC"/>
              <w:bottom w:val="single" w:sz="4" w:space="0" w:color="459BBC"/>
            </w:tcBorders>
            <w:noWrap/>
            <w:vAlign w:val="center"/>
          </w:tcPr>
          <w:p w14:paraId="2619286D" w14:textId="4B409059"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17.44</w:t>
            </w:r>
          </w:p>
        </w:tc>
        <w:tc>
          <w:tcPr>
            <w:tcW w:w="1172" w:type="dxa"/>
            <w:tcBorders>
              <w:top w:val="single" w:sz="4" w:space="0" w:color="459BBC"/>
              <w:bottom w:val="single" w:sz="4" w:space="0" w:color="459BBC"/>
            </w:tcBorders>
            <w:noWrap/>
            <w:vAlign w:val="center"/>
          </w:tcPr>
          <w:p w14:paraId="2E30A455" w14:textId="07F13B90"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16.28</w:t>
            </w:r>
          </w:p>
        </w:tc>
        <w:tc>
          <w:tcPr>
            <w:tcW w:w="1172" w:type="dxa"/>
            <w:tcBorders>
              <w:top w:val="single" w:sz="4" w:space="0" w:color="459BBC"/>
              <w:bottom w:val="single" w:sz="4" w:space="0" w:color="459BBC"/>
            </w:tcBorders>
            <w:noWrap/>
            <w:vAlign w:val="center"/>
          </w:tcPr>
          <w:p w14:paraId="1B1D1657" w14:textId="68BA428F"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16.72</w:t>
            </w:r>
          </w:p>
        </w:tc>
        <w:tc>
          <w:tcPr>
            <w:tcW w:w="1172" w:type="dxa"/>
            <w:tcBorders>
              <w:top w:val="single" w:sz="4" w:space="0" w:color="459BBC"/>
              <w:bottom w:val="single" w:sz="4" w:space="0" w:color="459BBC"/>
            </w:tcBorders>
            <w:noWrap/>
            <w:vAlign w:val="center"/>
          </w:tcPr>
          <w:p w14:paraId="45EEC9B1" w14:textId="0BBB6A8B"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24.70</w:t>
            </w:r>
          </w:p>
        </w:tc>
        <w:tc>
          <w:tcPr>
            <w:tcW w:w="1171" w:type="dxa"/>
            <w:tcBorders>
              <w:top w:val="single" w:sz="4" w:space="0" w:color="459BBC"/>
              <w:bottom w:val="single" w:sz="4" w:space="0" w:color="459BBC"/>
              <w:right w:val="dotDotDash" w:sz="4" w:space="0" w:color="459BBC"/>
            </w:tcBorders>
            <w:noWrap/>
            <w:vAlign w:val="center"/>
          </w:tcPr>
          <w:p w14:paraId="74BC6D14" w14:textId="1CBAE5A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000000"/>
                <w:sz w:val="20"/>
                <w:szCs w:val="20"/>
              </w:rPr>
              <w:t>23.16</w:t>
            </w:r>
          </w:p>
        </w:tc>
        <w:tc>
          <w:tcPr>
            <w:tcW w:w="1172" w:type="dxa"/>
            <w:tcBorders>
              <w:top w:val="single" w:sz="4" w:space="0" w:color="459BBC"/>
              <w:left w:val="dotDotDash" w:sz="4" w:space="0" w:color="459BBC"/>
              <w:bottom w:val="single" w:sz="4" w:space="0" w:color="459BBC"/>
            </w:tcBorders>
            <w:noWrap/>
            <w:vAlign w:val="center"/>
          </w:tcPr>
          <w:p w14:paraId="7BB19A0A" w14:textId="602719FA"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7.13% </w:t>
            </w:r>
          </w:p>
        </w:tc>
        <w:tc>
          <w:tcPr>
            <w:tcW w:w="1172" w:type="dxa"/>
            <w:tcBorders>
              <w:top w:val="single" w:sz="4" w:space="0" w:color="459BBC"/>
              <w:bottom w:val="single" w:sz="4" w:space="0" w:color="459BBC"/>
            </w:tcBorders>
            <w:noWrap/>
            <w:vAlign w:val="center"/>
          </w:tcPr>
          <w:p w14:paraId="676F628C" w14:textId="7C62BD4A"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000000"/>
                <w:sz w:val="20"/>
                <w:szCs w:val="20"/>
              </w:rPr>
              <w:t xml:space="preserve">4.31% </w:t>
            </w:r>
          </w:p>
        </w:tc>
        <w:tc>
          <w:tcPr>
            <w:tcW w:w="1146" w:type="dxa"/>
            <w:tcBorders>
              <w:top w:val="single" w:sz="4" w:space="0" w:color="459BBC"/>
              <w:bottom w:val="single" w:sz="4" w:space="0" w:color="459BBC"/>
            </w:tcBorders>
            <w:noWrap/>
            <w:vAlign w:val="center"/>
          </w:tcPr>
          <w:p w14:paraId="37248ADF" w14:textId="174FC8EB" w:rsidR="004C5D30" w:rsidRPr="004C5D30" w:rsidRDefault="004C5D30" w:rsidP="004C5D30">
            <w:pPr>
              <w:jc w:val="center"/>
              <w:rPr>
                <w:rFonts w:ascii="Open Sans" w:hAnsi="Open Sans" w:cs="Open Sans"/>
                <w:color w:val="FF0000"/>
                <w:sz w:val="20"/>
                <w:szCs w:val="20"/>
              </w:rPr>
            </w:pPr>
            <w:r w:rsidRPr="004C5D30">
              <w:rPr>
                <w:rFonts w:ascii="Open Sans" w:hAnsi="Open Sans" w:cs="Open Sans"/>
                <w:color w:val="FF0000"/>
                <w:sz w:val="20"/>
                <w:szCs w:val="20"/>
              </w:rPr>
              <w:t>(29.39%)</w:t>
            </w:r>
          </w:p>
        </w:tc>
        <w:tc>
          <w:tcPr>
            <w:tcW w:w="1198" w:type="dxa"/>
            <w:tcBorders>
              <w:top w:val="single" w:sz="4" w:space="0" w:color="459BBC"/>
              <w:bottom w:val="single" w:sz="4" w:space="0" w:color="459BBC"/>
              <w:right w:val="single" w:sz="4" w:space="0" w:color="459BBC"/>
            </w:tcBorders>
            <w:noWrap/>
            <w:vAlign w:val="center"/>
          </w:tcPr>
          <w:p w14:paraId="0FF06A13" w14:textId="068BCA43" w:rsidR="004C5D30" w:rsidRPr="004C5D30" w:rsidRDefault="004C5D30" w:rsidP="004C5D30">
            <w:pPr>
              <w:jc w:val="center"/>
              <w:rPr>
                <w:rFonts w:ascii="Open Sans" w:hAnsi="Open Sans" w:cs="Open Sans"/>
                <w:color w:val="000000"/>
                <w:sz w:val="20"/>
                <w:szCs w:val="20"/>
              </w:rPr>
            </w:pPr>
            <w:r w:rsidRPr="004C5D30">
              <w:rPr>
                <w:rFonts w:ascii="Open Sans" w:hAnsi="Open Sans" w:cs="Open Sans"/>
                <w:color w:val="FF0000"/>
                <w:sz w:val="20"/>
                <w:szCs w:val="20"/>
              </w:rPr>
              <w:t>(24.70%)</w:t>
            </w:r>
          </w:p>
        </w:tc>
      </w:tr>
    </w:tbl>
    <w:p w14:paraId="244FE88E" w14:textId="77777777" w:rsidR="00A07921" w:rsidRPr="00A05E68" w:rsidRDefault="00A07921" w:rsidP="00A07921">
      <w:pPr>
        <w:rPr>
          <w:rFonts w:ascii="Open Sans" w:hAnsi="Open Sans" w:cs="Open Sans"/>
          <w:sz w:val="15"/>
          <w:szCs w:val="15"/>
        </w:rPr>
      </w:pPr>
    </w:p>
    <w:p w14:paraId="28994C6E" w14:textId="77777777" w:rsidR="00A07921" w:rsidRDefault="00A07921" w:rsidP="00A07921">
      <w:pPr>
        <w:rPr>
          <w:rFonts w:ascii="Open Sans" w:hAnsi="Open Sans" w:cs="Open Sans"/>
          <w:sz w:val="15"/>
          <w:szCs w:val="15"/>
        </w:rPr>
      </w:pPr>
    </w:p>
    <w:p w14:paraId="291A8950" w14:textId="77777777" w:rsidR="001A3DCA" w:rsidRDefault="001A3DCA" w:rsidP="00A07921">
      <w:pPr>
        <w:rPr>
          <w:rFonts w:ascii="Open Sans" w:hAnsi="Open Sans" w:cs="Open Sans"/>
          <w:sz w:val="15"/>
          <w:szCs w:val="15"/>
        </w:rPr>
      </w:pPr>
    </w:p>
    <w:p w14:paraId="7108DF34" w14:textId="77777777" w:rsidR="001A3DCA" w:rsidRDefault="001A3DCA" w:rsidP="00A07921">
      <w:pPr>
        <w:rPr>
          <w:rFonts w:ascii="Open Sans" w:hAnsi="Open Sans" w:cs="Open Sans"/>
          <w:sz w:val="15"/>
          <w:szCs w:val="15"/>
        </w:rPr>
      </w:pPr>
    </w:p>
    <w:p w14:paraId="34399014" w14:textId="77777777" w:rsidR="001A3DCA" w:rsidRPr="00A05E68" w:rsidRDefault="001A3DCA" w:rsidP="00A07921">
      <w:pPr>
        <w:rPr>
          <w:rFonts w:ascii="Open Sans" w:hAnsi="Open Sans" w:cs="Open Sans"/>
          <w:sz w:val="15"/>
          <w:szCs w:val="15"/>
        </w:rPr>
      </w:pPr>
    </w:p>
    <w:p w14:paraId="72494E75" w14:textId="77777777" w:rsidR="001A3DCA" w:rsidRPr="001A3DCA" w:rsidRDefault="001A3DCA" w:rsidP="001A3DCA">
      <w:pPr>
        <w:pStyle w:val="paragraph"/>
        <w:spacing w:before="0" w:beforeAutospacing="0" w:after="0" w:afterAutospacing="0"/>
        <w:textAlignment w:val="baseline"/>
        <w:rPr>
          <w:rFonts w:ascii="Open Sans" w:hAnsi="Open Sans" w:cs="Open Sans"/>
          <w:color w:val="7F7F7F"/>
          <w:sz w:val="14"/>
          <w:szCs w:val="14"/>
          <w:lang w:val="en-US" w:eastAsia="en-US"/>
        </w:rPr>
      </w:pPr>
      <w:r w:rsidRPr="001A3DCA">
        <w:rPr>
          <w:rFonts w:ascii="Open Sans" w:hAnsi="Open Sans" w:cs="Open Sans"/>
          <w:color w:val="7F7F7F"/>
          <w:sz w:val="14"/>
          <w:szCs w:val="14"/>
          <w:lang w:eastAsia="en-US"/>
        </w:rPr>
        <w:t>Source and Notes:</w:t>
      </w:r>
      <w:r w:rsidRPr="001A3DCA">
        <w:rPr>
          <w:rFonts w:ascii="Open Sans" w:hAnsi="Open Sans" w:cs="Open Sans"/>
          <w:color w:val="7F7F7F"/>
          <w:sz w:val="14"/>
          <w:szCs w:val="14"/>
          <w:lang w:val="en-US" w:eastAsia="en-US"/>
        </w:rPr>
        <w:t> </w:t>
      </w:r>
    </w:p>
    <w:p w14:paraId="0153C815" w14:textId="77777777" w:rsidR="001A3DCA" w:rsidRPr="001A3DCA" w:rsidRDefault="001A3DCA" w:rsidP="001A3DCA">
      <w:pPr>
        <w:pStyle w:val="paragraph"/>
        <w:spacing w:before="0" w:beforeAutospacing="0" w:after="0" w:afterAutospacing="0"/>
        <w:textAlignment w:val="baseline"/>
        <w:rPr>
          <w:rFonts w:ascii="Open Sans" w:hAnsi="Open Sans" w:cs="Open Sans"/>
          <w:color w:val="7F7F7F"/>
          <w:sz w:val="14"/>
          <w:szCs w:val="14"/>
          <w:lang w:val="en-US" w:eastAsia="en-US"/>
        </w:rPr>
      </w:pPr>
      <w:r w:rsidRPr="001A3DCA">
        <w:rPr>
          <w:rFonts w:ascii="Open Sans" w:hAnsi="Open Sans" w:cs="Open Sans"/>
          <w:color w:val="7F7F7F"/>
          <w:sz w:val="14"/>
          <w:szCs w:val="14"/>
          <w:lang w:eastAsia="en-US"/>
        </w:rPr>
        <w:t>FLARE</w:t>
      </w:r>
      <w:r w:rsidRPr="001A3DCA">
        <w:rPr>
          <w:rFonts w:ascii="Open Sans" w:hAnsi="Open Sans" w:cs="Open Sans"/>
          <w:color w:val="7F7F7F"/>
          <w:sz w:val="14"/>
          <w:szCs w:val="14"/>
          <w:vertAlign w:val="superscript"/>
          <w:lang w:eastAsia="en-US"/>
        </w:rPr>
        <w:t>TM</w:t>
      </w:r>
      <w:r w:rsidRPr="001A3DCA">
        <w:rPr>
          <w:rFonts w:ascii="Open Sans" w:hAnsi="Open Sans" w:cs="Open Sans"/>
          <w:color w:val="7F7F7F"/>
          <w:sz w:val="14"/>
          <w:szCs w:val="14"/>
          <w:lang w:eastAsia="en-US"/>
        </w:rPr>
        <w:t xml:space="preserve"> by Anchor Pacific Financial Risk Labs Ltd., Yahoo Finance, </w:t>
      </w:r>
      <w:proofErr w:type="spellStart"/>
      <w:r w:rsidRPr="001A3DCA">
        <w:rPr>
          <w:rFonts w:ascii="Open Sans" w:hAnsi="Open Sans" w:cs="Open Sans"/>
          <w:color w:val="7F7F7F"/>
          <w:sz w:val="14"/>
          <w:szCs w:val="14"/>
          <w:lang w:eastAsia="en-US"/>
        </w:rPr>
        <w:t>QuoteMedia</w:t>
      </w:r>
      <w:proofErr w:type="spellEnd"/>
      <w:r w:rsidRPr="001A3DCA">
        <w:rPr>
          <w:rFonts w:ascii="Open Sans" w:hAnsi="Open Sans" w:cs="Open Sans"/>
          <w:color w:val="7F7F7F"/>
          <w:sz w:val="14"/>
          <w:szCs w:val="14"/>
          <w:lang w:eastAsia="en-US"/>
        </w:rPr>
        <w:t xml:space="preserve">, </w:t>
      </w:r>
      <w:proofErr w:type="spellStart"/>
      <w:r w:rsidRPr="001A3DCA">
        <w:rPr>
          <w:rFonts w:ascii="Open Sans" w:hAnsi="Open Sans" w:cs="Open Sans"/>
          <w:color w:val="7F7F7F"/>
          <w:sz w:val="14"/>
          <w:szCs w:val="14"/>
          <w:lang w:eastAsia="en-US"/>
        </w:rPr>
        <w:t>Fundata</w:t>
      </w:r>
      <w:proofErr w:type="spellEnd"/>
      <w:r w:rsidRPr="001A3DCA">
        <w:rPr>
          <w:rFonts w:ascii="Open Sans" w:hAnsi="Open Sans" w:cs="Open Sans"/>
          <w:color w:val="7F7F7F"/>
          <w:sz w:val="14"/>
          <w:szCs w:val="14"/>
          <w:lang w:eastAsia="en-US"/>
        </w:rPr>
        <w:t xml:space="preserve"> Canada Inc., investing.com, US Department of the Treasury (</w:t>
      </w:r>
      <w:hyperlink r:id="rId10" w:tgtFrame="_blank" w:history="1">
        <w:r w:rsidRPr="001A3DCA">
          <w:rPr>
            <w:rFonts w:ascii="Open Sans" w:hAnsi="Open Sans" w:cs="Open Sans"/>
            <w:color w:val="7F7F7F"/>
            <w:sz w:val="14"/>
            <w:szCs w:val="14"/>
            <w:lang w:eastAsia="en-US"/>
          </w:rPr>
          <w:t>https://www.treasury.gov/resource-center/data-chart-center/interest-rates/</w:t>
        </w:r>
      </w:hyperlink>
      <w:r w:rsidRPr="001A3DCA">
        <w:rPr>
          <w:rFonts w:ascii="Open Sans" w:hAnsi="Open Sans" w:cs="Open Sans"/>
          <w:color w:val="7F7F7F"/>
          <w:sz w:val="14"/>
          <w:szCs w:val="14"/>
          <w:lang w:eastAsia="en-US"/>
        </w:rPr>
        <w:t>), and Federal Reserve Bank of St. Louis Economic Research (FRED) (</w:t>
      </w:r>
      <w:hyperlink r:id="rId11" w:tgtFrame="_blank" w:history="1">
        <w:r w:rsidRPr="001A3DCA">
          <w:rPr>
            <w:rFonts w:ascii="Open Sans" w:hAnsi="Open Sans" w:cs="Open Sans"/>
            <w:color w:val="7F7F7F"/>
            <w:sz w:val="14"/>
            <w:szCs w:val="14"/>
            <w:lang w:eastAsia="en-US"/>
          </w:rPr>
          <w:t>https://fred.stlouisfed.org/</w:t>
        </w:r>
      </w:hyperlink>
      <w:r w:rsidRPr="001A3DCA">
        <w:rPr>
          <w:rFonts w:ascii="Open Sans" w:hAnsi="Open Sans" w:cs="Open Sans"/>
          <w:color w:val="7F7F7F"/>
          <w:sz w:val="14"/>
          <w:szCs w:val="14"/>
          <w:lang w:eastAsia="en-US"/>
        </w:rPr>
        <w:t>)</w:t>
      </w:r>
      <w:r w:rsidRPr="001A3DCA">
        <w:rPr>
          <w:rFonts w:ascii="Open Sans" w:hAnsi="Open Sans" w:cs="Open Sans"/>
          <w:color w:val="7F7F7F"/>
          <w:sz w:val="14"/>
          <w:szCs w:val="14"/>
          <w:lang w:val="en-US" w:eastAsia="en-US"/>
        </w:rPr>
        <w:t> </w:t>
      </w:r>
    </w:p>
    <w:p w14:paraId="66AB1D86" w14:textId="4D988A1A" w:rsidR="001A3DCA" w:rsidRDefault="001A3DCA" w:rsidP="001A3DCA">
      <w:pPr>
        <w:pStyle w:val="paragraph"/>
        <w:spacing w:before="0" w:beforeAutospacing="0" w:after="0" w:afterAutospacing="0"/>
        <w:textAlignment w:val="baseline"/>
        <w:rPr>
          <w:rFonts w:ascii="Open Sans" w:hAnsi="Open Sans" w:cs="Open Sans"/>
          <w:color w:val="7F7F7F"/>
          <w:sz w:val="14"/>
          <w:szCs w:val="14"/>
        </w:rPr>
      </w:pPr>
      <w:r w:rsidRPr="001A3DCA">
        <w:rPr>
          <w:rFonts w:ascii="Open Sans" w:hAnsi="Open Sans" w:cs="Open Sans"/>
          <w:color w:val="7F7F7F"/>
          <w:sz w:val="14"/>
          <w:szCs w:val="14"/>
          <w:lang w:eastAsia="en-US"/>
        </w:rPr>
        <w:t>Please see disclaimer for further details. </w:t>
      </w:r>
      <w:r>
        <w:rPr>
          <w:rFonts w:ascii="Open Sans" w:hAnsi="Open Sans" w:cs="Open Sans"/>
          <w:color w:val="7F7F7F"/>
          <w:sz w:val="14"/>
          <w:szCs w:val="14"/>
          <w:lang w:eastAsia="en-US"/>
        </w:rPr>
        <w:br w:type="page"/>
      </w:r>
    </w:p>
    <w:p w14:paraId="318FFCAB" w14:textId="77777777" w:rsidR="001A3DCA" w:rsidRPr="001A3DCA" w:rsidRDefault="001A3DCA" w:rsidP="001A3DCA">
      <w:pPr>
        <w:pStyle w:val="paragraph"/>
        <w:spacing w:before="0" w:beforeAutospacing="0" w:after="0" w:afterAutospacing="0"/>
        <w:textAlignment w:val="baseline"/>
        <w:rPr>
          <w:rFonts w:ascii="Open Sans" w:hAnsi="Open Sans" w:cs="Open Sans"/>
          <w:color w:val="7F7F7F"/>
          <w:sz w:val="14"/>
          <w:szCs w:val="14"/>
          <w:lang w:eastAsia="en-US"/>
        </w:rPr>
      </w:pPr>
    </w:p>
    <w:p w14:paraId="0CFF5C60" w14:textId="328C31B5" w:rsidR="006E2007" w:rsidRDefault="005822C9" w:rsidP="006E2007">
      <w:pPr>
        <w:rPr>
          <w:color w:val="7F7F7F"/>
          <w:sz w:val="14"/>
          <w:szCs w:val="14"/>
        </w:rPr>
      </w:pPr>
      <w:r w:rsidRPr="00B96C56">
        <w:rPr>
          <w:noProof/>
          <w:color w:val="469BBC"/>
          <w:sz w:val="14"/>
          <w:szCs w:val="14"/>
        </w:rPr>
        <w:drawing>
          <wp:inline distT="0" distB="0" distL="0" distR="0" wp14:anchorId="51DD5660" wp14:editId="655D18B7">
            <wp:extent cx="4564380" cy="3740728"/>
            <wp:effectExtent l="0" t="0" r="762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0B3AFB" w:rsidRPr="00B96C56">
        <w:rPr>
          <w:noProof/>
          <w:color w:val="469BBC"/>
          <w:sz w:val="14"/>
          <w:szCs w:val="14"/>
        </w:rPr>
        <w:drawing>
          <wp:inline distT="0" distB="0" distL="0" distR="0" wp14:anchorId="475BCC70" wp14:editId="5EA55612">
            <wp:extent cx="4564380" cy="3740728"/>
            <wp:effectExtent l="0" t="0" r="7620" b="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83CD549" w14:textId="77777777" w:rsidR="001A3DCA" w:rsidRDefault="001A3DCA" w:rsidP="006E2007">
      <w:pPr>
        <w:rPr>
          <w:rFonts w:ascii="Open Sans" w:hAnsi="Open Sans" w:cs="Open Sans"/>
          <w:color w:val="7F7F7F"/>
          <w:sz w:val="13"/>
          <w:szCs w:val="13"/>
        </w:rPr>
      </w:pPr>
    </w:p>
    <w:p w14:paraId="39E6F5C1" w14:textId="77777777" w:rsidR="001A3DCA" w:rsidRDefault="001A3DCA" w:rsidP="006E2007">
      <w:pPr>
        <w:rPr>
          <w:rFonts w:ascii="Open Sans" w:hAnsi="Open Sans" w:cs="Open Sans"/>
          <w:color w:val="7F7F7F"/>
          <w:sz w:val="13"/>
          <w:szCs w:val="13"/>
        </w:rPr>
      </w:pPr>
    </w:p>
    <w:p w14:paraId="6FB0FD5F" w14:textId="77777777" w:rsidR="001A3DCA" w:rsidRDefault="001A3DCA" w:rsidP="006E2007">
      <w:pPr>
        <w:rPr>
          <w:rFonts w:ascii="Open Sans" w:hAnsi="Open Sans" w:cs="Open Sans"/>
          <w:color w:val="7F7F7F"/>
          <w:sz w:val="13"/>
          <w:szCs w:val="13"/>
        </w:rPr>
      </w:pPr>
    </w:p>
    <w:p w14:paraId="3B878A38" w14:textId="6C6EBF62" w:rsidR="006E2007" w:rsidRPr="001A3DCA" w:rsidRDefault="006E2007" w:rsidP="006E2007">
      <w:pPr>
        <w:rPr>
          <w:rFonts w:ascii="Open Sans" w:hAnsi="Open Sans" w:cs="Open Sans"/>
          <w:color w:val="7F7F7F"/>
          <w:sz w:val="13"/>
          <w:szCs w:val="13"/>
        </w:rPr>
      </w:pPr>
      <w:r w:rsidRPr="001A3DCA">
        <w:rPr>
          <w:rFonts w:ascii="Open Sans" w:hAnsi="Open Sans" w:cs="Open Sans"/>
          <w:color w:val="7F7F7F"/>
          <w:sz w:val="13"/>
          <w:szCs w:val="13"/>
        </w:rPr>
        <w:t xml:space="preserve">Source and Notes: </w:t>
      </w:r>
    </w:p>
    <w:p w14:paraId="59CE5AC9" w14:textId="77777777" w:rsidR="006E2007" w:rsidRPr="001A3DCA" w:rsidRDefault="006E2007" w:rsidP="002E2D55">
      <w:pPr>
        <w:jc w:val="both"/>
        <w:rPr>
          <w:rFonts w:ascii="Open Sans" w:hAnsi="Open Sans" w:cs="Open Sans"/>
          <w:color w:val="7F7F7F"/>
          <w:sz w:val="13"/>
          <w:szCs w:val="13"/>
        </w:rPr>
      </w:pPr>
      <w:r w:rsidRPr="001A3DCA">
        <w:rPr>
          <w:rFonts w:ascii="Open Sans" w:hAnsi="Open Sans" w:cs="Open Sans"/>
          <w:color w:val="7F7F7F"/>
          <w:sz w:val="13"/>
          <w:szCs w:val="13"/>
        </w:rPr>
        <w:t>Yield curves are calculated for Canada based on data provided by investing.com for 1 month, 3 months, 1 year, 3 years, 5 years, 10 years, 20 years, and 30 years.</w:t>
      </w:r>
    </w:p>
    <w:p w14:paraId="5C7DC60E" w14:textId="77777777" w:rsidR="006E2007" w:rsidRPr="001A3DCA" w:rsidRDefault="006E2007" w:rsidP="002E2D55">
      <w:pPr>
        <w:jc w:val="both"/>
        <w:rPr>
          <w:rFonts w:ascii="Open Sans" w:hAnsi="Open Sans" w:cs="Open Sans"/>
          <w:color w:val="7F7F7F"/>
          <w:sz w:val="13"/>
          <w:szCs w:val="13"/>
        </w:rPr>
      </w:pPr>
      <w:r w:rsidRPr="001A3DCA">
        <w:rPr>
          <w:rFonts w:ascii="Open Sans" w:hAnsi="Open Sans" w:cs="Open Sans"/>
          <w:color w:val="7F7F7F"/>
          <w:sz w:val="13"/>
          <w:szCs w:val="13"/>
        </w:rPr>
        <w:t>Yield curves are calculated for the US based on data provided by the US Department of the Treasury’s website (</w:t>
      </w:r>
      <w:hyperlink r:id="rId14" w:history="1">
        <w:r w:rsidRPr="001A3DCA">
          <w:rPr>
            <w:rFonts w:ascii="Open Sans" w:hAnsi="Open Sans" w:cs="Open Sans"/>
            <w:color w:val="7F7F7F"/>
            <w:sz w:val="13"/>
            <w:szCs w:val="13"/>
          </w:rPr>
          <w:t>https://www.treasury.gov/resource-center/data-chart-center/interest-rates/</w:t>
        </w:r>
      </w:hyperlink>
      <w:r w:rsidRPr="001A3DCA">
        <w:rPr>
          <w:rFonts w:ascii="Open Sans" w:hAnsi="Open Sans" w:cs="Open Sans"/>
          <w:color w:val="7F7F7F"/>
          <w:sz w:val="13"/>
          <w:szCs w:val="13"/>
        </w:rPr>
        <w:t>) for 1 month, 3 months, 1 year, 3 years, 5 years, 10 years, 20 years, and 30 years.</w:t>
      </w:r>
    </w:p>
    <w:p w14:paraId="5FA045EB" w14:textId="616131F3" w:rsidR="006E2007" w:rsidRPr="001A3DCA" w:rsidRDefault="000514EC" w:rsidP="000514EC">
      <w:pPr>
        <w:tabs>
          <w:tab w:val="left" w:pos="8115"/>
        </w:tabs>
        <w:rPr>
          <w:rFonts w:ascii="Open Sans" w:hAnsi="Open Sans" w:cs="Open Sans"/>
          <w:sz w:val="13"/>
          <w:szCs w:val="13"/>
        </w:rPr>
      </w:pPr>
      <w:r w:rsidRPr="001A3DCA">
        <w:rPr>
          <w:rFonts w:ascii="Open Sans" w:hAnsi="Open Sans" w:cs="Open Sans"/>
          <w:sz w:val="13"/>
          <w:szCs w:val="13"/>
        </w:rPr>
        <w:tab/>
      </w:r>
    </w:p>
    <w:p w14:paraId="22A72B81" w14:textId="58F72251" w:rsidR="006E2007" w:rsidRPr="001A3DCA" w:rsidRDefault="000504E4" w:rsidP="006E2007">
      <w:pPr>
        <w:autoSpaceDE w:val="0"/>
        <w:autoSpaceDN w:val="0"/>
        <w:adjustRightInd w:val="0"/>
        <w:rPr>
          <w:rFonts w:ascii="Open Sans" w:hAnsi="Open Sans" w:cs="Open Sans"/>
          <w:b/>
          <w:bCs/>
          <w:color w:val="7F7F7F"/>
          <w:sz w:val="13"/>
          <w:szCs w:val="13"/>
        </w:rPr>
      </w:pPr>
      <w:r w:rsidRPr="001A3DCA">
        <w:rPr>
          <w:rFonts w:ascii="Open Sans" w:hAnsi="Open Sans" w:cs="Open Sans"/>
          <w:b/>
          <w:bCs/>
          <w:color w:val="7F7F7F"/>
          <w:sz w:val="13"/>
          <w:szCs w:val="13"/>
        </w:rPr>
        <w:t>DISCLAIMER</w:t>
      </w:r>
    </w:p>
    <w:p w14:paraId="60EB1398" w14:textId="32CFBD8B" w:rsidR="00E11ED2" w:rsidRPr="001A3DCA" w:rsidRDefault="00E11ED2" w:rsidP="002E2D55">
      <w:pPr>
        <w:autoSpaceDE w:val="0"/>
        <w:autoSpaceDN w:val="0"/>
        <w:adjustRightInd w:val="0"/>
        <w:jc w:val="both"/>
        <w:rPr>
          <w:rFonts w:ascii="Open Sans" w:hAnsi="Open Sans" w:cs="Open Sans"/>
          <w:color w:val="7F7F7F"/>
          <w:sz w:val="13"/>
          <w:szCs w:val="13"/>
          <w:lang w:val="en-CA"/>
        </w:rPr>
      </w:pPr>
      <w:r w:rsidRPr="001A3DCA">
        <w:rPr>
          <w:rFonts w:ascii="Open Sans" w:hAnsi="Open Sans" w:cs="Open Sans"/>
          <w:color w:val="7F7F7F"/>
          <w:sz w:val="13"/>
          <w:szCs w:val="13"/>
          <w:lang w:val="en-CA"/>
        </w:rPr>
        <w:t xml:space="preserve">Anchor Pacific Investments (“Anchor Pacific”) is a trade name of Aligned Capital Partners Inc. (“ACPI”). ACPI is regulated by the </w:t>
      </w:r>
      <w:r w:rsidR="00575313" w:rsidRPr="001A3DCA">
        <w:rPr>
          <w:rFonts w:ascii="Open Sans" w:hAnsi="Open Sans" w:cs="Open Sans"/>
          <w:color w:val="7F7F7F"/>
          <w:sz w:val="13"/>
          <w:szCs w:val="13"/>
          <w:lang w:val="en-CA"/>
        </w:rPr>
        <w:t>Canadian Investment Regulatory Organization (www.ciro.ca)</w:t>
      </w:r>
      <w:r w:rsidRPr="001A3DCA">
        <w:rPr>
          <w:rFonts w:ascii="Open Sans" w:hAnsi="Open Sans" w:cs="Open Sans"/>
          <w:color w:val="7F7F7F"/>
          <w:sz w:val="13"/>
          <w:szCs w:val="13"/>
          <w:lang w:val="en-CA"/>
        </w:rPr>
        <w:t xml:space="preserve"> and a Member of the Canadian Investor Protection Fund (www.cipf.ca). </w:t>
      </w:r>
    </w:p>
    <w:p w14:paraId="355BA55B" w14:textId="77777777" w:rsidR="00E11ED2" w:rsidRPr="001A3DCA" w:rsidRDefault="00E11ED2" w:rsidP="002E2D55">
      <w:pPr>
        <w:autoSpaceDE w:val="0"/>
        <w:autoSpaceDN w:val="0"/>
        <w:adjustRightInd w:val="0"/>
        <w:jc w:val="both"/>
        <w:rPr>
          <w:rFonts w:ascii="Open Sans" w:hAnsi="Open Sans" w:cs="Open Sans"/>
          <w:color w:val="7F7F7F"/>
          <w:sz w:val="9"/>
          <w:szCs w:val="9"/>
          <w:lang w:val="en-CA"/>
        </w:rPr>
      </w:pPr>
    </w:p>
    <w:p w14:paraId="09E22EE7" w14:textId="7A12C562" w:rsidR="00E11ED2" w:rsidRPr="001A3DCA" w:rsidRDefault="00E11ED2" w:rsidP="002E2D55">
      <w:pPr>
        <w:autoSpaceDE w:val="0"/>
        <w:autoSpaceDN w:val="0"/>
        <w:adjustRightInd w:val="0"/>
        <w:jc w:val="both"/>
        <w:rPr>
          <w:rFonts w:ascii="Open Sans" w:hAnsi="Open Sans" w:cs="Open Sans"/>
          <w:color w:val="7F7F7F"/>
          <w:sz w:val="13"/>
          <w:szCs w:val="13"/>
          <w:lang w:val="en-CA"/>
        </w:rPr>
      </w:pPr>
      <w:r w:rsidRPr="001A3DCA">
        <w:rPr>
          <w:rFonts w:ascii="Open Sans" w:hAnsi="Open Sans" w:cs="Open Sans"/>
          <w:color w:val="7F7F7F"/>
          <w:sz w:val="13"/>
          <w:szCs w:val="13"/>
          <w:lang w:val="en-CA"/>
        </w:rPr>
        <w:t>This publication is for informational purposes only and shall not be construed to constitute any form of investment advice, offer or solicitation to buy or sell any investment fund, security or other product or service. The views expressed are those of the author and may not necessarily be those of ACPI. Opinions expressed are as of the date of this publication and are subject to change without notice. Information has been compiled from sources believed to be reliable. This publication has been prepared for general circulation and without regard to the individual financial circumstances and objectives of persons who receive it. You should not act or rely on the information without seeking the advice of an appropriate professional.</w:t>
      </w:r>
    </w:p>
    <w:p w14:paraId="3D2B4A05" w14:textId="77777777" w:rsidR="00257305" w:rsidRPr="001A3DCA" w:rsidRDefault="00257305" w:rsidP="002E2D55">
      <w:pPr>
        <w:autoSpaceDE w:val="0"/>
        <w:autoSpaceDN w:val="0"/>
        <w:adjustRightInd w:val="0"/>
        <w:jc w:val="both"/>
        <w:rPr>
          <w:rFonts w:ascii="Open Sans" w:hAnsi="Open Sans" w:cs="Open Sans"/>
          <w:color w:val="7F7F7F"/>
          <w:sz w:val="9"/>
          <w:szCs w:val="9"/>
          <w:lang w:val="en-CA"/>
        </w:rPr>
      </w:pPr>
    </w:p>
    <w:p w14:paraId="2AA7EAE9" w14:textId="56A7CC58" w:rsidR="00047A92" w:rsidRPr="001A3DCA" w:rsidRDefault="00E11ED2" w:rsidP="002E2D55">
      <w:pPr>
        <w:autoSpaceDE w:val="0"/>
        <w:autoSpaceDN w:val="0"/>
        <w:adjustRightInd w:val="0"/>
        <w:jc w:val="both"/>
        <w:rPr>
          <w:rFonts w:ascii="Open Sans" w:hAnsi="Open Sans" w:cs="Open Sans"/>
          <w:color w:val="7F7F7F"/>
          <w:sz w:val="13"/>
          <w:szCs w:val="13"/>
          <w:lang w:val="en-CA"/>
        </w:rPr>
      </w:pPr>
      <w:r w:rsidRPr="001A3DCA">
        <w:rPr>
          <w:rFonts w:ascii="Open Sans" w:hAnsi="Open Sans" w:cs="Open Sans"/>
          <w:color w:val="7F7F7F"/>
          <w:sz w:val="13"/>
          <w:szCs w:val="13"/>
          <w:lang w:val="en-CA"/>
        </w:rPr>
        <w:t>Past performance is not indicative of future performance, future returns are not guaranteed, and a loss of principal may occur. Content may not be reproduced or copied by any means without the prior consent of Anchor Pacific and ACPI.</w:t>
      </w:r>
    </w:p>
    <w:sectPr w:rsidR="00047A92" w:rsidRPr="001A3DCA" w:rsidSect="008064CB">
      <w:headerReference w:type="default" r:id="rId15"/>
      <w:footerReference w:type="even" r:id="rId16"/>
      <w:footerReference w:type="default" r:id="rId17"/>
      <w:pgSz w:w="15840" w:h="12240" w:orient="landscape"/>
      <w:pgMar w:top="720" w:right="720" w:bottom="720" w:left="72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03F2" w14:textId="77777777" w:rsidR="00A265AD" w:rsidRDefault="00A265AD" w:rsidP="0026312D">
      <w:r>
        <w:separator/>
      </w:r>
    </w:p>
  </w:endnote>
  <w:endnote w:type="continuationSeparator" w:id="0">
    <w:p w14:paraId="3EA887DD" w14:textId="77777777" w:rsidR="00A265AD" w:rsidRDefault="00A265AD" w:rsidP="0026312D">
      <w:r>
        <w:continuationSeparator/>
      </w:r>
    </w:p>
  </w:endnote>
  <w:endnote w:type="continuationNotice" w:id="1">
    <w:p w14:paraId="24CB31B6" w14:textId="77777777" w:rsidR="00A265AD" w:rsidRDefault="00A265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0000000000000000000"/>
    <w:charset w:val="00"/>
    <w:family w:val="auto"/>
    <w:pitch w:val="variable"/>
    <w:sig w:usb0="E00002FF" w:usb1="4000201B" w:usb2="00000028" w:usb3="00000000" w:csb0="0000019F" w:csb1="00000000"/>
  </w:font>
  <w:font w:name="Open Sans SemiBold">
    <w:panose1 w:val="00000000000000000000"/>
    <w:charset w:val="00"/>
    <w:family w:val="auto"/>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55BE" w14:textId="77777777" w:rsidR="00EA1568" w:rsidRDefault="00EA1568" w:rsidP="00D276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2E832E4" w14:textId="77777777" w:rsidR="00EA1568" w:rsidRDefault="00EA1568" w:rsidP="00EA1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AEF7C" w14:textId="7034FB2D" w:rsidR="00BB3366" w:rsidRDefault="00BB3366" w:rsidP="0036121B">
    <w:pPr>
      <w:pStyle w:val="Footer"/>
      <w:ind w:right="360"/>
      <w:jc w:val="center"/>
      <w:rPr>
        <w:rFonts w:ascii="Open Sans Light" w:hAnsi="Open Sans Light" w:cs="Open Sans Light"/>
        <w:sz w:val="20"/>
        <w:szCs w:val="20"/>
      </w:rPr>
    </w:pPr>
    <w:r w:rsidRPr="001C6E3E">
      <w:rPr>
        <w:rFonts w:ascii="Open Sans Light" w:hAnsi="Open Sans Light" w:cs="Open Sans Light"/>
        <w:noProof/>
        <w:sz w:val="20"/>
        <w:szCs w:val="20"/>
      </w:rPr>
      <mc:AlternateContent>
        <mc:Choice Requires="wps">
          <w:drawing>
            <wp:inline distT="0" distB="0" distL="0" distR="0" wp14:anchorId="2E7FF03E" wp14:editId="67FC3968">
              <wp:extent cx="9136380" cy="0"/>
              <wp:effectExtent l="0" t="0" r="7620" b="12700"/>
              <wp:docPr id="2" name="Straight Connector 2"/>
              <wp:cNvGraphicFramePr/>
              <a:graphic xmlns:a="http://schemas.openxmlformats.org/drawingml/2006/main">
                <a:graphicData uri="http://schemas.microsoft.com/office/word/2010/wordprocessingShape">
                  <wps:wsp>
                    <wps:cNvCnPr/>
                    <wps:spPr>
                      <a:xfrm flipV="1">
                        <a:off x="0" y="0"/>
                        <a:ext cx="9136380" cy="0"/>
                      </a:xfrm>
                      <a:prstGeom prst="line">
                        <a:avLst/>
                      </a:prstGeom>
                      <a:ln w="6350">
                        <a:solidFill>
                          <a:srgbClr val="141416"/>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rto="http://schemas.microsoft.com/office/word/2006/arto" xmlns:a="http://schemas.openxmlformats.org/drawingml/2006/main" xmlns:pic="http://schemas.openxmlformats.org/drawingml/2006/picture" xmlns:a14="http://schemas.microsoft.com/office/drawing/2010/main">
          <w:pict>
            <v:line id="Straight Connector 2" style="flip:y;visibility:visible;mso-wrap-style:square;mso-left-percent:-10001;mso-top-percent:-10001;mso-position-horizontal:absolute;mso-position-horizontal-relative:char;mso-position-vertical:absolute;mso-position-vertical-relative:line;mso-left-percent:-10001;mso-top-percent:-10001" o:spid="_x0000_s1026" strokecolor="#141416" strokeweight=".5pt" from="0,0" to="719.4pt,0" w14:anchorId="4A080C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">
              <v:stroke joinstyle="miter"/>
              <w10:anchorlock/>
            </v:line>
          </w:pict>
        </mc:Fallback>
      </mc:AlternateContent>
    </w:r>
  </w:p>
  <w:p w14:paraId="7640029F" w14:textId="77777777" w:rsidR="00D754B1" w:rsidRPr="00A83686" w:rsidRDefault="00D754B1" w:rsidP="007011DD">
    <w:pPr>
      <w:pStyle w:val="Footer"/>
      <w:ind w:right="360"/>
      <w:jc w:val="center"/>
      <w:rPr>
        <w:rFonts w:ascii="Open Sans Light" w:hAnsi="Open Sans Light" w:cs="Open Sans Light"/>
        <w:sz w:val="4"/>
        <w:szCs w:val="4"/>
      </w:rPr>
    </w:pPr>
  </w:p>
  <w:p w14:paraId="2BCBBE94" w14:textId="64C2F7E9" w:rsidR="009A0D6B" w:rsidRDefault="007011DD" w:rsidP="007011DD">
    <w:pPr>
      <w:pStyle w:val="Footer"/>
      <w:ind w:right="360"/>
      <w:jc w:val="center"/>
      <w:rPr>
        <w:rFonts w:ascii="Open Sans Light" w:hAnsi="Open Sans Light" w:cs="Open Sans Light"/>
        <w:sz w:val="20"/>
        <w:szCs w:val="20"/>
      </w:rPr>
    </w:pPr>
    <w:r>
      <w:rPr>
        <w:noProof/>
      </w:rPr>
      <w:drawing>
        <wp:anchor distT="0" distB="0" distL="114300" distR="114300" simplePos="0" relativeHeight="251659267" behindDoc="0" locked="0" layoutInCell="1" allowOverlap="1" wp14:anchorId="193E583F" wp14:editId="777E9E24">
          <wp:simplePos x="0" y="0"/>
          <wp:positionH relativeFrom="margin">
            <wp:align>right</wp:align>
          </wp:positionH>
          <wp:positionV relativeFrom="paragraph">
            <wp:posOffset>60325</wp:posOffset>
          </wp:positionV>
          <wp:extent cx="1732280" cy="579755"/>
          <wp:effectExtent l="0" t="0" r="0" b="0"/>
          <wp:wrapNone/>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732280" cy="5797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91" behindDoc="0" locked="0" layoutInCell="1" allowOverlap="1" wp14:anchorId="1A4764ED" wp14:editId="1EBE053F">
          <wp:simplePos x="0" y="0"/>
          <wp:positionH relativeFrom="margin">
            <wp:posOffset>0</wp:posOffset>
          </wp:positionH>
          <wp:positionV relativeFrom="paragraph">
            <wp:posOffset>29551</wp:posOffset>
          </wp:positionV>
          <wp:extent cx="2344420" cy="629920"/>
          <wp:effectExtent l="0" t="0" r="0" b="0"/>
          <wp:wrapNone/>
          <wp:docPr id="5" name="Picture 5"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sig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344420" cy="629920"/>
                  </a:xfrm>
                  <a:prstGeom prst="rect">
                    <a:avLst/>
                  </a:prstGeom>
                </pic:spPr>
              </pic:pic>
            </a:graphicData>
          </a:graphic>
          <wp14:sizeRelH relativeFrom="page">
            <wp14:pctWidth>0</wp14:pctWidth>
          </wp14:sizeRelH>
          <wp14:sizeRelV relativeFrom="page">
            <wp14:pctHeight>0</wp14:pctHeight>
          </wp14:sizeRelV>
        </wp:anchor>
      </w:drawing>
    </w:r>
  </w:p>
  <w:p w14:paraId="0C6F69D5" w14:textId="77777777" w:rsidR="00DE016C" w:rsidRDefault="00C95D9C" w:rsidP="005A539E">
    <w:pPr>
      <w:pStyle w:val="Footer"/>
      <w:spacing w:line="276" w:lineRule="auto"/>
      <w:ind w:right="360"/>
      <w:jc w:val="center"/>
      <w:rPr>
        <w:rFonts w:ascii="Open Sans Light" w:hAnsi="Open Sans Light" w:cs="Open Sans Light"/>
        <w:sz w:val="20"/>
        <w:szCs w:val="20"/>
      </w:rPr>
    </w:pPr>
    <w:r w:rsidRPr="001C6E3E">
      <w:rPr>
        <w:rFonts w:ascii="Open Sans Light" w:hAnsi="Open Sans Light" w:cs="Open Sans Light"/>
        <w:sz w:val="20"/>
        <w:szCs w:val="20"/>
      </w:rPr>
      <w:t xml:space="preserve">838 West Hastings St., Suite 700, Vancouver, </w:t>
    </w:r>
    <w:proofErr w:type="gramStart"/>
    <w:r w:rsidRPr="001C6E3E">
      <w:rPr>
        <w:rFonts w:ascii="Open Sans Light" w:hAnsi="Open Sans Light" w:cs="Open Sans Light"/>
        <w:sz w:val="20"/>
        <w:szCs w:val="20"/>
      </w:rPr>
      <w:t>BC  V</w:t>
    </w:r>
    <w:proofErr w:type="gramEnd"/>
    <w:r w:rsidRPr="001C6E3E">
      <w:rPr>
        <w:rFonts w:ascii="Open Sans Light" w:hAnsi="Open Sans Light" w:cs="Open Sans Light"/>
        <w:sz w:val="20"/>
        <w:szCs w:val="20"/>
      </w:rPr>
      <w:t>6C 0A6</w:t>
    </w:r>
  </w:p>
  <w:p w14:paraId="0EC7FB56" w14:textId="2BE28382" w:rsidR="00BB3366" w:rsidRPr="001C6E3E" w:rsidRDefault="00C95D9C" w:rsidP="005A539E">
    <w:pPr>
      <w:pStyle w:val="Footer"/>
      <w:spacing w:line="276" w:lineRule="auto"/>
      <w:ind w:right="360"/>
      <w:jc w:val="center"/>
      <w:rPr>
        <w:rFonts w:ascii="Open Sans Light" w:hAnsi="Open Sans Light" w:cs="Open Sans Light"/>
        <w:sz w:val="20"/>
        <w:szCs w:val="20"/>
      </w:rPr>
    </w:pPr>
    <w:r w:rsidRPr="001C6E3E">
      <w:rPr>
        <w:rFonts w:ascii="Open Sans Light" w:hAnsi="Open Sans Light" w:cs="Open Sans Light"/>
        <w:sz w:val="20"/>
        <w:szCs w:val="20"/>
      </w:rPr>
      <w:t>Main: 604-336-</w:t>
    </w:r>
    <w:proofErr w:type="gramStart"/>
    <w:r w:rsidRPr="001C6E3E">
      <w:rPr>
        <w:rFonts w:ascii="Open Sans Light" w:hAnsi="Open Sans Light" w:cs="Open Sans Light"/>
        <w:sz w:val="20"/>
        <w:szCs w:val="20"/>
      </w:rPr>
      <w:t>9080  |</w:t>
    </w:r>
    <w:proofErr w:type="gramEnd"/>
    <w:r w:rsidRPr="001C6E3E">
      <w:rPr>
        <w:rFonts w:ascii="Open Sans Light" w:hAnsi="Open Sans Light" w:cs="Open Sans Light"/>
        <w:sz w:val="20"/>
        <w:szCs w:val="20"/>
      </w:rPr>
      <w:t xml:space="preserve">  www.anchorpacificgroup.com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43BE3" w14:textId="77777777" w:rsidR="00A265AD" w:rsidRDefault="00A265AD" w:rsidP="0026312D">
      <w:r>
        <w:separator/>
      </w:r>
    </w:p>
  </w:footnote>
  <w:footnote w:type="continuationSeparator" w:id="0">
    <w:p w14:paraId="6CCE9401" w14:textId="77777777" w:rsidR="00A265AD" w:rsidRDefault="00A265AD" w:rsidP="0026312D">
      <w:r>
        <w:continuationSeparator/>
      </w:r>
    </w:p>
  </w:footnote>
  <w:footnote w:type="continuationNotice" w:id="1">
    <w:p w14:paraId="401A8D63" w14:textId="77777777" w:rsidR="00A265AD" w:rsidRDefault="00A265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00E5" w14:textId="297C43C0" w:rsidR="00D83B75" w:rsidRDefault="008454C0" w:rsidP="008454C0">
    <w:pPr>
      <w:pStyle w:val="Header"/>
      <w:rPr>
        <w:rFonts w:ascii="Open Sans" w:hAnsi="Open Sans" w:cs="Open Sans"/>
        <w:b/>
        <w:bCs/>
        <w:sz w:val="40"/>
        <w:szCs w:val="40"/>
      </w:rPr>
    </w:pPr>
    <w:r>
      <w:rPr>
        <w:rFonts w:ascii="Open Sans" w:hAnsi="Open Sans" w:cs="Open Sans"/>
        <w:b/>
        <w:bCs/>
        <w:noProof/>
        <w:sz w:val="40"/>
        <w:szCs w:val="40"/>
      </w:rPr>
      <mc:AlternateContent>
        <mc:Choice Requires="wps">
          <w:drawing>
            <wp:anchor distT="0" distB="0" distL="114300" distR="114300" simplePos="0" relativeHeight="251664387" behindDoc="0" locked="0" layoutInCell="1" allowOverlap="1" wp14:anchorId="6D4D0F9D" wp14:editId="75FD08B6">
              <wp:simplePos x="0" y="0"/>
              <wp:positionH relativeFrom="margin">
                <wp:posOffset>6350000</wp:posOffset>
              </wp:positionH>
              <wp:positionV relativeFrom="paragraph">
                <wp:posOffset>-91531</wp:posOffset>
              </wp:positionV>
              <wp:extent cx="2797175" cy="433494"/>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797175" cy="433494"/>
                      </a:xfrm>
                      <a:prstGeom prst="rect">
                        <a:avLst/>
                      </a:prstGeom>
                      <a:solidFill>
                        <a:schemeClr val="lt1"/>
                      </a:solidFill>
                      <a:ln w="6350">
                        <a:noFill/>
                      </a:ln>
                    </wps:spPr>
                    <wps:txbx>
                      <w:txbxContent>
                        <w:p w14:paraId="345225FE" w14:textId="2DBD65C2" w:rsidR="008454C0" w:rsidRPr="00B07798" w:rsidRDefault="00DD0FD4" w:rsidP="005818D7">
                          <w:pPr>
                            <w:jc w:val="right"/>
                            <w:rPr>
                              <w:rFonts w:ascii="Open Sans" w:hAnsi="Open Sans" w:cs="Open Sans"/>
                              <w:b/>
                              <w:bCs/>
                              <w:sz w:val="40"/>
                              <w:szCs w:val="40"/>
                              <w:lang w:val="en-CA"/>
                            </w:rPr>
                          </w:pPr>
                          <w:r>
                            <w:rPr>
                              <w:rFonts w:ascii="Open Sans" w:hAnsi="Open Sans" w:cs="Open Sans"/>
                              <w:b/>
                              <w:bCs/>
                              <w:sz w:val="40"/>
                              <w:szCs w:val="40"/>
                              <w:lang w:val="en-CA"/>
                            </w:rPr>
                            <w:t xml:space="preserve"> </w:t>
                          </w:r>
                          <w:r w:rsidR="00711AD8">
                            <w:rPr>
                              <w:rFonts w:ascii="Open Sans" w:hAnsi="Open Sans" w:cs="Open Sans"/>
                              <w:b/>
                              <w:bCs/>
                              <w:sz w:val="40"/>
                              <w:szCs w:val="40"/>
                              <w:lang w:val="en-CA"/>
                            </w:rPr>
                            <w:t>October</w:t>
                          </w:r>
                          <w:r w:rsidR="00FD7754">
                            <w:rPr>
                              <w:rFonts w:ascii="Open Sans" w:hAnsi="Open Sans" w:cs="Open Sans"/>
                              <w:b/>
                              <w:bCs/>
                              <w:sz w:val="40"/>
                              <w:szCs w:val="40"/>
                              <w:lang w:val="en-CA"/>
                            </w:rPr>
                            <w:t xml:space="preserve">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D0F9D" id="_x0000_t202" coordsize="21600,21600" o:spt="202" path="m,l,21600r21600,l21600,xe">
              <v:stroke joinstyle="miter"/>
              <v:path gradientshapeok="t" o:connecttype="rect"/>
            </v:shapetype>
            <v:shape id="Text Box 17" o:spid="_x0000_s1026" type="#_x0000_t202" style="position:absolute;margin-left:500pt;margin-top:-7.2pt;width:220.25pt;height:34.15pt;z-index:2516643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" fillcolor="white [3201]" stroked="f" strokeweight=".5pt">
              <v:textbox>
                <w:txbxContent>
                  <w:p w14:paraId="345225FE" w14:textId="2DBD65C2" w:rsidR="008454C0" w:rsidRPr="00B07798" w:rsidRDefault="00DD0FD4" w:rsidP="005818D7">
                    <w:pPr>
                      <w:jc w:val="right"/>
                      <w:rPr>
                        <w:rFonts w:ascii="Open Sans" w:hAnsi="Open Sans" w:cs="Open Sans"/>
                        <w:b/>
                        <w:bCs/>
                        <w:sz w:val="40"/>
                        <w:szCs w:val="40"/>
                        <w:lang w:val="en-CA"/>
                      </w:rPr>
                    </w:pPr>
                    <w:r>
                      <w:rPr>
                        <w:rFonts w:ascii="Open Sans" w:hAnsi="Open Sans" w:cs="Open Sans"/>
                        <w:b/>
                        <w:bCs/>
                        <w:sz w:val="40"/>
                        <w:szCs w:val="40"/>
                        <w:lang w:val="en-CA"/>
                      </w:rPr>
                      <w:t xml:space="preserve"> </w:t>
                    </w:r>
                    <w:r w:rsidR="00711AD8">
                      <w:rPr>
                        <w:rFonts w:ascii="Open Sans" w:hAnsi="Open Sans" w:cs="Open Sans"/>
                        <w:b/>
                        <w:bCs/>
                        <w:sz w:val="40"/>
                        <w:szCs w:val="40"/>
                        <w:lang w:val="en-CA"/>
                      </w:rPr>
                      <w:t>October</w:t>
                    </w:r>
                    <w:r w:rsidR="00FD7754">
                      <w:rPr>
                        <w:rFonts w:ascii="Open Sans" w:hAnsi="Open Sans" w:cs="Open Sans"/>
                        <w:b/>
                        <w:bCs/>
                        <w:sz w:val="40"/>
                        <w:szCs w:val="40"/>
                        <w:lang w:val="en-CA"/>
                      </w:rPr>
                      <w:t xml:space="preserve"> 2025</w:t>
                    </w:r>
                  </w:p>
                </w:txbxContent>
              </v:textbox>
              <w10:wrap anchorx="margin"/>
            </v:shape>
          </w:pict>
        </mc:Fallback>
      </mc:AlternateContent>
    </w:r>
    <w:r>
      <w:rPr>
        <w:rFonts w:ascii="Open Sans" w:hAnsi="Open Sans" w:cs="Open Sans"/>
        <w:b/>
        <w:bCs/>
        <w:noProof/>
        <w:sz w:val="40"/>
        <w:szCs w:val="40"/>
      </w:rPr>
      <mc:AlternateContent>
        <mc:Choice Requires="wps">
          <w:drawing>
            <wp:anchor distT="0" distB="0" distL="114300" distR="114300" simplePos="0" relativeHeight="251661315" behindDoc="0" locked="0" layoutInCell="1" allowOverlap="1" wp14:anchorId="7C483D63" wp14:editId="7AAE3CE5">
              <wp:simplePos x="0" y="0"/>
              <wp:positionH relativeFrom="margin">
                <wp:posOffset>0</wp:posOffset>
              </wp:positionH>
              <wp:positionV relativeFrom="paragraph">
                <wp:posOffset>-89958</wp:posOffset>
              </wp:positionV>
              <wp:extent cx="3440853" cy="433494"/>
              <wp:effectExtent l="0" t="0" r="1270" b="0"/>
              <wp:wrapNone/>
              <wp:docPr id="15" name="Text Box 15"/>
              <wp:cNvGraphicFramePr/>
              <a:graphic xmlns:a="http://schemas.openxmlformats.org/drawingml/2006/main">
                <a:graphicData uri="http://schemas.microsoft.com/office/word/2010/wordprocessingShape">
                  <wps:wsp>
                    <wps:cNvSpPr txBox="1"/>
                    <wps:spPr>
                      <a:xfrm>
                        <a:off x="0" y="0"/>
                        <a:ext cx="3440853" cy="433494"/>
                      </a:xfrm>
                      <a:prstGeom prst="rect">
                        <a:avLst/>
                      </a:prstGeom>
                      <a:solidFill>
                        <a:schemeClr val="lt1"/>
                      </a:solidFill>
                      <a:ln w="6350">
                        <a:noFill/>
                      </a:ln>
                    </wps:spPr>
                    <wps:txbx>
                      <w:txbxContent>
                        <w:p w14:paraId="014AB6AB" w14:textId="7982469F" w:rsidR="00C85BA2" w:rsidRPr="008454C0" w:rsidRDefault="00C85BA2">
                          <w:pPr>
                            <w:rPr>
                              <w:rFonts w:ascii="Open Sans" w:hAnsi="Open Sans" w:cs="Open Sans"/>
                              <w:b/>
                              <w:bCs/>
                              <w:sz w:val="40"/>
                              <w:szCs w:val="40"/>
                              <w:lang w:val="en-CA"/>
                            </w:rPr>
                          </w:pPr>
                          <w:r w:rsidRPr="008454C0">
                            <w:rPr>
                              <w:rFonts w:ascii="Open Sans" w:hAnsi="Open Sans" w:cs="Open Sans"/>
                              <w:b/>
                              <w:bCs/>
                              <w:sz w:val="40"/>
                              <w:szCs w:val="40"/>
                              <w:lang w:val="en-CA"/>
                            </w:rPr>
                            <w:t>I</w:t>
                          </w:r>
                          <w:r w:rsidR="008454C0" w:rsidRPr="008454C0">
                            <w:rPr>
                              <w:rFonts w:ascii="Open Sans" w:hAnsi="Open Sans" w:cs="Open Sans"/>
                              <w:b/>
                              <w:bCs/>
                              <w:sz w:val="40"/>
                              <w:szCs w:val="40"/>
                              <w:lang w:val="en-CA"/>
                            </w:rPr>
                            <w:t>NVESTMENT SCORECARD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483D63" id="Text Box 15" o:spid="_x0000_s1027" type="#_x0000_t202" style="position:absolute;margin-left:0;margin-top:-7.1pt;width:270.95pt;height:34.15pt;z-index:2516613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" fillcolor="white [3201]" stroked="f" strokeweight=".5pt">
              <v:textbox>
                <w:txbxContent>
                  <w:p w14:paraId="014AB6AB" w14:textId="7982469F" w:rsidR="00C85BA2" w:rsidRPr="008454C0" w:rsidRDefault="00C85BA2">
                    <w:pPr>
                      <w:rPr>
                        <w:rFonts w:ascii="Open Sans" w:hAnsi="Open Sans" w:cs="Open Sans"/>
                        <w:b/>
                        <w:bCs/>
                        <w:sz w:val="40"/>
                        <w:szCs w:val="40"/>
                        <w:lang w:val="en-CA"/>
                      </w:rPr>
                    </w:pPr>
                    <w:r w:rsidRPr="008454C0">
                      <w:rPr>
                        <w:rFonts w:ascii="Open Sans" w:hAnsi="Open Sans" w:cs="Open Sans"/>
                        <w:b/>
                        <w:bCs/>
                        <w:sz w:val="40"/>
                        <w:szCs w:val="40"/>
                        <w:lang w:val="en-CA"/>
                      </w:rPr>
                      <w:t>I</w:t>
                    </w:r>
                    <w:r w:rsidR="008454C0" w:rsidRPr="008454C0">
                      <w:rPr>
                        <w:rFonts w:ascii="Open Sans" w:hAnsi="Open Sans" w:cs="Open Sans"/>
                        <w:b/>
                        <w:bCs/>
                        <w:sz w:val="40"/>
                        <w:szCs w:val="40"/>
                        <w:lang w:val="en-CA"/>
                      </w:rPr>
                      <w:t>NVESTMENT SCORECARD</w:t>
                    </w:r>
                  </w:p>
                </w:txbxContent>
              </v:textbox>
              <w10:wrap anchorx="margin"/>
            </v:shape>
          </w:pict>
        </mc:Fallback>
      </mc:AlternateContent>
    </w:r>
  </w:p>
  <w:p w14:paraId="243D1084" w14:textId="6C60C686" w:rsidR="0026312D" w:rsidRDefault="006757FB" w:rsidP="008454C0">
    <w:pPr>
      <w:pStyle w:val="Header"/>
    </w:pPr>
    <w:r>
      <w:rPr>
        <w:noProof/>
      </w:rPr>
      <mc:AlternateContent>
        <mc:Choice Requires="wps">
          <w:drawing>
            <wp:anchor distT="0" distB="0" distL="114300" distR="114300" simplePos="0" relativeHeight="251658242" behindDoc="0" locked="0" layoutInCell="1" allowOverlap="1" wp14:anchorId="1419E6F9" wp14:editId="28BBEA6F">
              <wp:simplePos x="0" y="0"/>
              <wp:positionH relativeFrom="margin">
                <wp:align>right</wp:align>
              </wp:positionH>
              <wp:positionV relativeFrom="paragraph">
                <wp:posOffset>93470</wp:posOffset>
              </wp:positionV>
              <wp:extent cx="9130696" cy="0"/>
              <wp:effectExtent l="0" t="0" r="13335" b="12700"/>
              <wp:wrapNone/>
              <wp:docPr id="9" name="Straight Connector 9"/>
              <wp:cNvGraphicFramePr/>
              <a:graphic xmlns:a="http://schemas.openxmlformats.org/drawingml/2006/main">
                <a:graphicData uri="http://schemas.microsoft.com/office/word/2010/wordprocessingShape">
                  <wps:wsp>
                    <wps:cNvCnPr/>
                    <wps:spPr>
                      <a:xfrm flipV="1">
                        <a:off x="0" y="0"/>
                        <a:ext cx="9130696" cy="0"/>
                      </a:xfrm>
                      <a:prstGeom prst="line">
                        <a:avLst/>
                      </a:prstGeom>
                      <a:ln w="6350">
                        <a:solidFill>
                          <a:srgbClr val="14141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9" style="position:absolute;flip:y;z-index:25165824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o:spid="_x0000_s1026" strokecolor="#141416" strokeweight=".5pt" from="667.75pt,7.35pt" to="1386.7pt,7.35pt" w14:anchorId="49A54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">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12D"/>
    <w:rsid w:val="000003C6"/>
    <w:rsid w:val="00002285"/>
    <w:rsid w:val="00007F72"/>
    <w:rsid w:val="000267A4"/>
    <w:rsid w:val="0003074E"/>
    <w:rsid w:val="00031888"/>
    <w:rsid w:val="000364ED"/>
    <w:rsid w:val="00041C20"/>
    <w:rsid w:val="00043B80"/>
    <w:rsid w:val="00045A6A"/>
    <w:rsid w:val="00047A92"/>
    <w:rsid w:val="000504E4"/>
    <w:rsid w:val="000514EC"/>
    <w:rsid w:val="00054B36"/>
    <w:rsid w:val="000804B9"/>
    <w:rsid w:val="000813CD"/>
    <w:rsid w:val="00081964"/>
    <w:rsid w:val="00082471"/>
    <w:rsid w:val="00083579"/>
    <w:rsid w:val="000837CD"/>
    <w:rsid w:val="00087679"/>
    <w:rsid w:val="00087EA7"/>
    <w:rsid w:val="000A283A"/>
    <w:rsid w:val="000A5B08"/>
    <w:rsid w:val="000B3AFB"/>
    <w:rsid w:val="000B410D"/>
    <w:rsid w:val="000B410F"/>
    <w:rsid w:val="000C4DDB"/>
    <w:rsid w:val="000C7BC8"/>
    <w:rsid w:val="000D53AA"/>
    <w:rsid w:val="000D5C32"/>
    <w:rsid w:val="000D5C9C"/>
    <w:rsid w:val="000E344B"/>
    <w:rsid w:val="000E5706"/>
    <w:rsid w:val="000F671F"/>
    <w:rsid w:val="00102E48"/>
    <w:rsid w:val="00103606"/>
    <w:rsid w:val="00113475"/>
    <w:rsid w:val="001154CD"/>
    <w:rsid w:val="00123073"/>
    <w:rsid w:val="001237CC"/>
    <w:rsid w:val="001245DD"/>
    <w:rsid w:val="00124CD2"/>
    <w:rsid w:val="001267A8"/>
    <w:rsid w:val="001272D2"/>
    <w:rsid w:val="00136780"/>
    <w:rsid w:val="001404B9"/>
    <w:rsid w:val="0014064F"/>
    <w:rsid w:val="0014315A"/>
    <w:rsid w:val="0014387D"/>
    <w:rsid w:val="00143B48"/>
    <w:rsid w:val="00144850"/>
    <w:rsid w:val="00152A05"/>
    <w:rsid w:val="001564A4"/>
    <w:rsid w:val="00160B4F"/>
    <w:rsid w:val="00162157"/>
    <w:rsid w:val="00163F15"/>
    <w:rsid w:val="00165646"/>
    <w:rsid w:val="00167CED"/>
    <w:rsid w:val="00174849"/>
    <w:rsid w:val="001765D1"/>
    <w:rsid w:val="001825B6"/>
    <w:rsid w:val="001848FA"/>
    <w:rsid w:val="00185B6A"/>
    <w:rsid w:val="00186DA1"/>
    <w:rsid w:val="00187F8F"/>
    <w:rsid w:val="00190EB3"/>
    <w:rsid w:val="00191282"/>
    <w:rsid w:val="00193505"/>
    <w:rsid w:val="00193703"/>
    <w:rsid w:val="00194CE5"/>
    <w:rsid w:val="00196F66"/>
    <w:rsid w:val="001A2535"/>
    <w:rsid w:val="001A2756"/>
    <w:rsid w:val="001A3DCA"/>
    <w:rsid w:val="001A61C4"/>
    <w:rsid w:val="001A63B2"/>
    <w:rsid w:val="001A7E87"/>
    <w:rsid w:val="001B2CA3"/>
    <w:rsid w:val="001B43A5"/>
    <w:rsid w:val="001C6E3E"/>
    <w:rsid w:val="001D0B9A"/>
    <w:rsid w:val="001D1B4A"/>
    <w:rsid w:val="001D3E6B"/>
    <w:rsid w:val="001D50EB"/>
    <w:rsid w:val="001D604C"/>
    <w:rsid w:val="001E0B7D"/>
    <w:rsid w:val="001E1188"/>
    <w:rsid w:val="001E28C9"/>
    <w:rsid w:val="001E6CB5"/>
    <w:rsid w:val="001F0664"/>
    <w:rsid w:val="001F2334"/>
    <w:rsid w:val="001F32BA"/>
    <w:rsid w:val="00201DC1"/>
    <w:rsid w:val="00207F8A"/>
    <w:rsid w:val="00220D01"/>
    <w:rsid w:val="00221EBD"/>
    <w:rsid w:val="00222F7C"/>
    <w:rsid w:val="0022501B"/>
    <w:rsid w:val="002312A0"/>
    <w:rsid w:val="00237740"/>
    <w:rsid w:val="0024307A"/>
    <w:rsid w:val="00243848"/>
    <w:rsid w:val="00244819"/>
    <w:rsid w:val="00246D22"/>
    <w:rsid w:val="00250C36"/>
    <w:rsid w:val="002520A1"/>
    <w:rsid w:val="00252872"/>
    <w:rsid w:val="00257305"/>
    <w:rsid w:val="00261909"/>
    <w:rsid w:val="0026312D"/>
    <w:rsid w:val="00265496"/>
    <w:rsid w:val="00265605"/>
    <w:rsid w:val="002724B6"/>
    <w:rsid w:val="00273F12"/>
    <w:rsid w:val="0027584E"/>
    <w:rsid w:val="002876D0"/>
    <w:rsid w:val="00287ACD"/>
    <w:rsid w:val="002911EA"/>
    <w:rsid w:val="00291CA1"/>
    <w:rsid w:val="00291DE6"/>
    <w:rsid w:val="002A07D0"/>
    <w:rsid w:val="002A1D93"/>
    <w:rsid w:val="002A33F6"/>
    <w:rsid w:val="002B14BA"/>
    <w:rsid w:val="002B2011"/>
    <w:rsid w:val="002B2B42"/>
    <w:rsid w:val="002C2A8E"/>
    <w:rsid w:val="002C3B53"/>
    <w:rsid w:val="002C40C4"/>
    <w:rsid w:val="002C77BE"/>
    <w:rsid w:val="002D06A7"/>
    <w:rsid w:val="002D1488"/>
    <w:rsid w:val="002D1579"/>
    <w:rsid w:val="002D2D82"/>
    <w:rsid w:val="002D543B"/>
    <w:rsid w:val="002D6556"/>
    <w:rsid w:val="002D71E4"/>
    <w:rsid w:val="002E1FB4"/>
    <w:rsid w:val="002E26C5"/>
    <w:rsid w:val="002E2D55"/>
    <w:rsid w:val="002E65C4"/>
    <w:rsid w:val="002F1C43"/>
    <w:rsid w:val="002F4171"/>
    <w:rsid w:val="002F488D"/>
    <w:rsid w:val="002F741B"/>
    <w:rsid w:val="002F7D00"/>
    <w:rsid w:val="00301879"/>
    <w:rsid w:val="00301CC1"/>
    <w:rsid w:val="00301FB8"/>
    <w:rsid w:val="00304464"/>
    <w:rsid w:val="00304A66"/>
    <w:rsid w:val="003071F4"/>
    <w:rsid w:val="00312A52"/>
    <w:rsid w:val="00312DD3"/>
    <w:rsid w:val="0031504A"/>
    <w:rsid w:val="00324FEE"/>
    <w:rsid w:val="00325722"/>
    <w:rsid w:val="00325FEE"/>
    <w:rsid w:val="00332464"/>
    <w:rsid w:val="00333F53"/>
    <w:rsid w:val="00333FEE"/>
    <w:rsid w:val="0033410D"/>
    <w:rsid w:val="00344AAF"/>
    <w:rsid w:val="003456F5"/>
    <w:rsid w:val="00350187"/>
    <w:rsid w:val="003512DA"/>
    <w:rsid w:val="003529A6"/>
    <w:rsid w:val="00354DA2"/>
    <w:rsid w:val="0036121B"/>
    <w:rsid w:val="00367932"/>
    <w:rsid w:val="00373E10"/>
    <w:rsid w:val="00380073"/>
    <w:rsid w:val="00385BA1"/>
    <w:rsid w:val="00385F2A"/>
    <w:rsid w:val="00387C35"/>
    <w:rsid w:val="00387E4E"/>
    <w:rsid w:val="00391C24"/>
    <w:rsid w:val="00391E53"/>
    <w:rsid w:val="003A1A51"/>
    <w:rsid w:val="003A27E8"/>
    <w:rsid w:val="003A42D3"/>
    <w:rsid w:val="003A6BA0"/>
    <w:rsid w:val="003A7397"/>
    <w:rsid w:val="003B348E"/>
    <w:rsid w:val="003B3606"/>
    <w:rsid w:val="003B6179"/>
    <w:rsid w:val="003B6BF3"/>
    <w:rsid w:val="003C01EB"/>
    <w:rsid w:val="003C0F83"/>
    <w:rsid w:val="003C528A"/>
    <w:rsid w:val="003C6A41"/>
    <w:rsid w:val="003D1A84"/>
    <w:rsid w:val="003D30A0"/>
    <w:rsid w:val="003D4797"/>
    <w:rsid w:val="003E3865"/>
    <w:rsid w:val="003E48EF"/>
    <w:rsid w:val="003E4FBA"/>
    <w:rsid w:val="003E6FF8"/>
    <w:rsid w:val="003F05E2"/>
    <w:rsid w:val="003F72C5"/>
    <w:rsid w:val="004056E5"/>
    <w:rsid w:val="00407690"/>
    <w:rsid w:val="004103D6"/>
    <w:rsid w:val="00416442"/>
    <w:rsid w:val="00422D07"/>
    <w:rsid w:val="00425BBF"/>
    <w:rsid w:val="00425F80"/>
    <w:rsid w:val="00426116"/>
    <w:rsid w:val="004269B4"/>
    <w:rsid w:val="004274C2"/>
    <w:rsid w:val="004300E2"/>
    <w:rsid w:val="00436887"/>
    <w:rsid w:val="00443025"/>
    <w:rsid w:val="004439AB"/>
    <w:rsid w:val="004458F6"/>
    <w:rsid w:val="0044753E"/>
    <w:rsid w:val="004505E3"/>
    <w:rsid w:val="004533AC"/>
    <w:rsid w:val="00454950"/>
    <w:rsid w:val="00455017"/>
    <w:rsid w:val="00455373"/>
    <w:rsid w:val="00455BEF"/>
    <w:rsid w:val="00456868"/>
    <w:rsid w:val="00456C0F"/>
    <w:rsid w:val="004621C3"/>
    <w:rsid w:val="004677EB"/>
    <w:rsid w:val="00467E95"/>
    <w:rsid w:val="0047040D"/>
    <w:rsid w:val="00470918"/>
    <w:rsid w:val="00470925"/>
    <w:rsid w:val="004807C3"/>
    <w:rsid w:val="004810EF"/>
    <w:rsid w:val="004832FD"/>
    <w:rsid w:val="0048520F"/>
    <w:rsid w:val="00486590"/>
    <w:rsid w:val="0048761B"/>
    <w:rsid w:val="00491AB8"/>
    <w:rsid w:val="00492097"/>
    <w:rsid w:val="004969D7"/>
    <w:rsid w:val="004A17AE"/>
    <w:rsid w:val="004A6EED"/>
    <w:rsid w:val="004A7CD2"/>
    <w:rsid w:val="004B005F"/>
    <w:rsid w:val="004B0A1E"/>
    <w:rsid w:val="004B1D1A"/>
    <w:rsid w:val="004B3CD4"/>
    <w:rsid w:val="004B5CE3"/>
    <w:rsid w:val="004B7E84"/>
    <w:rsid w:val="004C5D30"/>
    <w:rsid w:val="004C655C"/>
    <w:rsid w:val="004D54A3"/>
    <w:rsid w:val="004D59BB"/>
    <w:rsid w:val="004D78B7"/>
    <w:rsid w:val="004D7A53"/>
    <w:rsid w:val="004E0D99"/>
    <w:rsid w:val="004E0DFE"/>
    <w:rsid w:val="004E3644"/>
    <w:rsid w:val="004E4235"/>
    <w:rsid w:val="004E4DCC"/>
    <w:rsid w:val="004F3F8C"/>
    <w:rsid w:val="004F4346"/>
    <w:rsid w:val="00521EB1"/>
    <w:rsid w:val="00525EAF"/>
    <w:rsid w:val="0053007A"/>
    <w:rsid w:val="00530E6E"/>
    <w:rsid w:val="00542B77"/>
    <w:rsid w:val="0055059C"/>
    <w:rsid w:val="005513D5"/>
    <w:rsid w:val="00553D58"/>
    <w:rsid w:val="00554701"/>
    <w:rsid w:val="00557864"/>
    <w:rsid w:val="00561687"/>
    <w:rsid w:val="005670E5"/>
    <w:rsid w:val="00567A81"/>
    <w:rsid w:val="00575313"/>
    <w:rsid w:val="00576F8E"/>
    <w:rsid w:val="00577239"/>
    <w:rsid w:val="005816C0"/>
    <w:rsid w:val="005818D7"/>
    <w:rsid w:val="005822C9"/>
    <w:rsid w:val="00583033"/>
    <w:rsid w:val="005841D6"/>
    <w:rsid w:val="00584F2F"/>
    <w:rsid w:val="005858DF"/>
    <w:rsid w:val="00596AD1"/>
    <w:rsid w:val="005A30E3"/>
    <w:rsid w:val="005A44B5"/>
    <w:rsid w:val="005A539E"/>
    <w:rsid w:val="005A6640"/>
    <w:rsid w:val="005A76FC"/>
    <w:rsid w:val="005A77A7"/>
    <w:rsid w:val="005B10AA"/>
    <w:rsid w:val="005B1D83"/>
    <w:rsid w:val="005B2B92"/>
    <w:rsid w:val="005B3966"/>
    <w:rsid w:val="005B61D4"/>
    <w:rsid w:val="005B7020"/>
    <w:rsid w:val="005B78CB"/>
    <w:rsid w:val="005C20EB"/>
    <w:rsid w:val="005C670A"/>
    <w:rsid w:val="005E1030"/>
    <w:rsid w:val="005E750D"/>
    <w:rsid w:val="005F25FA"/>
    <w:rsid w:val="005F2844"/>
    <w:rsid w:val="005F47DA"/>
    <w:rsid w:val="005F56CE"/>
    <w:rsid w:val="00604BBD"/>
    <w:rsid w:val="00605906"/>
    <w:rsid w:val="00610D3A"/>
    <w:rsid w:val="00611F63"/>
    <w:rsid w:val="0061448A"/>
    <w:rsid w:val="00621ACD"/>
    <w:rsid w:val="00623259"/>
    <w:rsid w:val="00624D6C"/>
    <w:rsid w:val="00634AEA"/>
    <w:rsid w:val="00636414"/>
    <w:rsid w:val="0064164E"/>
    <w:rsid w:val="006424BE"/>
    <w:rsid w:val="00643BCD"/>
    <w:rsid w:val="006466B8"/>
    <w:rsid w:val="00657881"/>
    <w:rsid w:val="006606EE"/>
    <w:rsid w:val="006664B7"/>
    <w:rsid w:val="0067163C"/>
    <w:rsid w:val="00674695"/>
    <w:rsid w:val="006757FB"/>
    <w:rsid w:val="006803CA"/>
    <w:rsid w:val="00682E1A"/>
    <w:rsid w:val="00683925"/>
    <w:rsid w:val="006839EA"/>
    <w:rsid w:val="0068418B"/>
    <w:rsid w:val="00686A7D"/>
    <w:rsid w:val="0069011E"/>
    <w:rsid w:val="00691F97"/>
    <w:rsid w:val="00695DA0"/>
    <w:rsid w:val="006979A3"/>
    <w:rsid w:val="006A00F0"/>
    <w:rsid w:val="006A364A"/>
    <w:rsid w:val="006A4D9E"/>
    <w:rsid w:val="006A53C2"/>
    <w:rsid w:val="006A5AB9"/>
    <w:rsid w:val="006A5E71"/>
    <w:rsid w:val="006B3605"/>
    <w:rsid w:val="006B5583"/>
    <w:rsid w:val="006C122B"/>
    <w:rsid w:val="006C6F14"/>
    <w:rsid w:val="006D0D86"/>
    <w:rsid w:val="006D2249"/>
    <w:rsid w:val="006D3C67"/>
    <w:rsid w:val="006D579D"/>
    <w:rsid w:val="006E19BE"/>
    <w:rsid w:val="006E2007"/>
    <w:rsid w:val="006E219B"/>
    <w:rsid w:val="006E25C2"/>
    <w:rsid w:val="006E2807"/>
    <w:rsid w:val="006E3168"/>
    <w:rsid w:val="006E32B0"/>
    <w:rsid w:val="006E5059"/>
    <w:rsid w:val="006F2F00"/>
    <w:rsid w:val="006F432A"/>
    <w:rsid w:val="006F4D4A"/>
    <w:rsid w:val="0070109C"/>
    <w:rsid w:val="00701192"/>
    <w:rsid w:val="007011DD"/>
    <w:rsid w:val="0070311A"/>
    <w:rsid w:val="0070586A"/>
    <w:rsid w:val="00707597"/>
    <w:rsid w:val="00710633"/>
    <w:rsid w:val="00711AD8"/>
    <w:rsid w:val="007125BB"/>
    <w:rsid w:val="007128F2"/>
    <w:rsid w:val="007135FE"/>
    <w:rsid w:val="00713EEF"/>
    <w:rsid w:val="007142FA"/>
    <w:rsid w:val="0071710F"/>
    <w:rsid w:val="00724BCB"/>
    <w:rsid w:val="00724EBC"/>
    <w:rsid w:val="00725428"/>
    <w:rsid w:val="00725436"/>
    <w:rsid w:val="0072633D"/>
    <w:rsid w:val="00726890"/>
    <w:rsid w:val="00726C4E"/>
    <w:rsid w:val="00735331"/>
    <w:rsid w:val="00737985"/>
    <w:rsid w:val="007403D0"/>
    <w:rsid w:val="00743210"/>
    <w:rsid w:val="00744B57"/>
    <w:rsid w:val="00746E85"/>
    <w:rsid w:val="007476A6"/>
    <w:rsid w:val="00751CB7"/>
    <w:rsid w:val="0075224C"/>
    <w:rsid w:val="00755215"/>
    <w:rsid w:val="00755223"/>
    <w:rsid w:val="007648AA"/>
    <w:rsid w:val="00765776"/>
    <w:rsid w:val="00766DB6"/>
    <w:rsid w:val="00770882"/>
    <w:rsid w:val="0077326E"/>
    <w:rsid w:val="00774E3C"/>
    <w:rsid w:val="00774F02"/>
    <w:rsid w:val="007751AC"/>
    <w:rsid w:val="00780F41"/>
    <w:rsid w:val="00785178"/>
    <w:rsid w:val="007852E0"/>
    <w:rsid w:val="00790527"/>
    <w:rsid w:val="00793BEE"/>
    <w:rsid w:val="007A0A6C"/>
    <w:rsid w:val="007A20BA"/>
    <w:rsid w:val="007A4595"/>
    <w:rsid w:val="007A474E"/>
    <w:rsid w:val="007A4ACA"/>
    <w:rsid w:val="007A53F3"/>
    <w:rsid w:val="007A79D6"/>
    <w:rsid w:val="007B61B2"/>
    <w:rsid w:val="007B7539"/>
    <w:rsid w:val="007C76FB"/>
    <w:rsid w:val="007D0902"/>
    <w:rsid w:val="007D4B27"/>
    <w:rsid w:val="007D5BA5"/>
    <w:rsid w:val="007D5F3F"/>
    <w:rsid w:val="007D6EB6"/>
    <w:rsid w:val="007D7BBE"/>
    <w:rsid w:val="007E1577"/>
    <w:rsid w:val="007E2865"/>
    <w:rsid w:val="007F09E1"/>
    <w:rsid w:val="007F27E0"/>
    <w:rsid w:val="007F5DED"/>
    <w:rsid w:val="0080042E"/>
    <w:rsid w:val="00800BA7"/>
    <w:rsid w:val="00802488"/>
    <w:rsid w:val="008064CB"/>
    <w:rsid w:val="0081384D"/>
    <w:rsid w:val="00813D96"/>
    <w:rsid w:val="00814DAE"/>
    <w:rsid w:val="00822A65"/>
    <w:rsid w:val="00823302"/>
    <w:rsid w:val="00826939"/>
    <w:rsid w:val="00827DF4"/>
    <w:rsid w:val="00830025"/>
    <w:rsid w:val="00831015"/>
    <w:rsid w:val="00831F3D"/>
    <w:rsid w:val="00835249"/>
    <w:rsid w:val="00835F13"/>
    <w:rsid w:val="00844BEA"/>
    <w:rsid w:val="008454C0"/>
    <w:rsid w:val="008471BB"/>
    <w:rsid w:val="00850869"/>
    <w:rsid w:val="008518F3"/>
    <w:rsid w:val="00857CF4"/>
    <w:rsid w:val="00857D8B"/>
    <w:rsid w:val="0086071C"/>
    <w:rsid w:val="00866A5C"/>
    <w:rsid w:val="00870370"/>
    <w:rsid w:val="00872177"/>
    <w:rsid w:val="00873449"/>
    <w:rsid w:val="0087489F"/>
    <w:rsid w:val="00874C62"/>
    <w:rsid w:val="00874E66"/>
    <w:rsid w:val="008759D7"/>
    <w:rsid w:val="00877633"/>
    <w:rsid w:val="0087786C"/>
    <w:rsid w:val="0088354A"/>
    <w:rsid w:val="00887EE3"/>
    <w:rsid w:val="008905C1"/>
    <w:rsid w:val="00891985"/>
    <w:rsid w:val="0089520F"/>
    <w:rsid w:val="00895C16"/>
    <w:rsid w:val="00896576"/>
    <w:rsid w:val="00897B13"/>
    <w:rsid w:val="008A029A"/>
    <w:rsid w:val="008A0B22"/>
    <w:rsid w:val="008A18D6"/>
    <w:rsid w:val="008A1FBA"/>
    <w:rsid w:val="008A4F81"/>
    <w:rsid w:val="008B1A98"/>
    <w:rsid w:val="008B3C5F"/>
    <w:rsid w:val="008B4489"/>
    <w:rsid w:val="008B44A4"/>
    <w:rsid w:val="008B45BD"/>
    <w:rsid w:val="008C1E73"/>
    <w:rsid w:val="008D0F25"/>
    <w:rsid w:val="008D74FB"/>
    <w:rsid w:val="008D7624"/>
    <w:rsid w:val="008E7CF1"/>
    <w:rsid w:val="008F16DD"/>
    <w:rsid w:val="008F25A6"/>
    <w:rsid w:val="008F3D58"/>
    <w:rsid w:val="008F5223"/>
    <w:rsid w:val="00905788"/>
    <w:rsid w:val="00905D51"/>
    <w:rsid w:val="0090604E"/>
    <w:rsid w:val="009104E2"/>
    <w:rsid w:val="00912A94"/>
    <w:rsid w:val="00915787"/>
    <w:rsid w:val="00917CEF"/>
    <w:rsid w:val="0092083E"/>
    <w:rsid w:val="009210F5"/>
    <w:rsid w:val="00921B2C"/>
    <w:rsid w:val="0092520D"/>
    <w:rsid w:val="00933356"/>
    <w:rsid w:val="00935B85"/>
    <w:rsid w:val="00937564"/>
    <w:rsid w:val="009405E7"/>
    <w:rsid w:val="009414F5"/>
    <w:rsid w:val="00943378"/>
    <w:rsid w:val="009434C7"/>
    <w:rsid w:val="00943CFB"/>
    <w:rsid w:val="009450F0"/>
    <w:rsid w:val="0095184E"/>
    <w:rsid w:val="00952096"/>
    <w:rsid w:val="009521C2"/>
    <w:rsid w:val="00956722"/>
    <w:rsid w:val="00960E2A"/>
    <w:rsid w:val="0096257F"/>
    <w:rsid w:val="0096447A"/>
    <w:rsid w:val="0096674D"/>
    <w:rsid w:val="00966AC8"/>
    <w:rsid w:val="00967F72"/>
    <w:rsid w:val="00970CA7"/>
    <w:rsid w:val="00972985"/>
    <w:rsid w:val="009735C1"/>
    <w:rsid w:val="009735DF"/>
    <w:rsid w:val="00973650"/>
    <w:rsid w:val="0097446D"/>
    <w:rsid w:val="0097673A"/>
    <w:rsid w:val="009812EE"/>
    <w:rsid w:val="00991583"/>
    <w:rsid w:val="0099314F"/>
    <w:rsid w:val="0099373F"/>
    <w:rsid w:val="00994F2C"/>
    <w:rsid w:val="00996AC9"/>
    <w:rsid w:val="00996BA8"/>
    <w:rsid w:val="009A0D6B"/>
    <w:rsid w:val="009A197D"/>
    <w:rsid w:val="009A1E0F"/>
    <w:rsid w:val="009A224B"/>
    <w:rsid w:val="009A2E70"/>
    <w:rsid w:val="009A574F"/>
    <w:rsid w:val="009A5BB8"/>
    <w:rsid w:val="009A67A0"/>
    <w:rsid w:val="009A6B25"/>
    <w:rsid w:val="009A75B1"/>
    <w:rsid w:val="009A794C"/>
    <w:rsid w:val="009B03D5"/>
    <w:rsid w:val="009B0BDB"/>
    <w:rsid w:val="009B48A4"/>
    <w:rsid w:val="009B536B"/>
    <w:rsid w:val="009C01AD"/>
    <w:rsid w:val="009C15AA"/>
    <w:rsid w:val="009C3724"/>
    <w:rsid w:val="009C6081"/>
    <w:rsid w:val="009C61EC"/>
    <w:rsid w:val="009C6704"/>
    <w:rsid w:val="009D1117"/>
    <w:rsid w:val="009D1DFD"/>
    <w:rsid w:val="009D6BDC"/>
    <w:rsid w:val="009D74F3"/>
    <w:rsid w:val="009E5DE9"/>
    <w:rsid w:val="009E7BE9"/>
    <w:rsid w:val="009F03C7"/>
    <w:rsid w:val="009F1613"/>
    <w:rsid w:val="009F2DD8"/>
    <w:rsid w:val="009F477C"/>
    <w:rsid w:val="009F49F7"/>
    <w:rsid w:val="009F5304"/>
    <w:rsid w:val="009F57C1"/>
    <w:rsid w:val="009F660A"/>
    <w:rsid w:val="009F69E7"/>
    <w:rsid w:val="009F7374"/>
    <w:rsid w:val="00A0153D"/>
    <w:rsid w:val="00A035D4"/>
    <w:rsid w:val="00A0474F"/>
    <w:rsid w:val="00A055A8"/>
    <w:rsid w:val="00A05E68"/>
    <w:rsid w:val="00A07921"/>
    <w:rsid w:val="00A10305"/>
    <w:rsid w:val="00A10957"/>
    <w:rsid w:val="00A11CD7"/>
    <w:rsid w:val="00A1247A"/>
    <w:rsid w:val="00A14169"/>
    <w:rsid w:val="00A14814"/>
    <w:rsid w:val="00A256E3"/>
    <w:rsid w:val="00A265AD"/>
    <w:rsid w:val="00A27DDB"/>
    <w:rsid w:val="00A307CD"/>
    <w:rsid w:val="00A3081E"/>
    <w:rsid w:val="00A34C68"/>
    <w:rsid w:val="00A413BC"/>
    <w:rsid w:val="00A43189"/>
    <w:rsid w:val="00A43455"/>
    <w:rsid w:val="00A437D6"/>
    <w:rsid w:val="00A437EE"/>
    <w:rsid w:val="00A44044"/>
    <w:rsid w:val="00A4551C"/>
    <w:rsid w:val="00A461E2"/>
    <w:rsid w:val="00A46785"/>
    <w:rsid w:val="00A5035A"/>
    <w:rsid w:val="00A527BC"/>
    <w:rsid w:val="00A52A50"/>
    <w:rsid w:val="00A567E2"/>
    <w:rsid w:val="00A56E7E"/>
    <w:rsid w:val="00A57AC5"/>
    <w:rsid w:val="00A605B9"/>
    <w:rsid w:val="00A65FE3"/>
    <w:rsid w:val="00A7047C"/>
    <w:rsid w:val="00A7075A"/>
    <w:rsid w:val="00A71A3F"/>
    <w:rsid w:val="00A738FA"/>
    <w:rsid w:val="00A748EA"/>
    <w:rsid w:val="00A75C89"/>
    <w:rsid w:val="00A774AC"/>
    <w:rsid w:val="00A77527"/>
    <w:rsid w:val="00A77DD1"/>
    <w:rsid w:val="00A77FBD"/>
    <w:rsid w:val="00A83686"/>
    <w:rsid w:val="00A83827"/>
    <w:rsid w:val="00A8446F"/>
    <w:rsid w:val="00A844E4"/>
    <w:rsid w:val="00A90E7E"/>
    <w:rsid w:val="00A91EB0"/>
    <w:rsid w:val="00A9668D"/>
    <w:rsid w:val="00AA6825"/>
    <w:rsid w:val="00AB0550"/>
    <w:rsid w:val="00AB26DC"/>
    <w:rsid w:val="00AB49DF"/>
    <w:rsid w:val="00AC20B2"/>
    <w:rsid w:val="00AC2D57"/>
    <w:rsid w:val="00AC4616"/>
    <w:rsid w:val="00AC6600"/>
    <w:rsid w:val="00AC76F5"/>
    <w:rsid w:val="00AD33E6"/>
    <w:rsid w:val="00AD6BC1"/>
    <w:rsid w:val="00AD6CC8"/>
    <w:rsid w:val="00AE1C24"/>
    <w:rsid w:val="00AE4750"/>
    <w:rsid w:val="00AE5F23"/>
    <w:rsid w:val="00AE5F2A"/>
    <w:rsid w:val="00AE70AB"/>
    <w:rsid w:val="00AF107E"/>
    <w:rsid w:val="00AF52EB"/>
    <w:rsid w:val="00AF703B"/>
    <w:rsid w:val="00AF72ED"/>
    <w:rsid w:val="00AF7318"/>
    <w:rsid w:val="00B00CD7"/>
    <w:rsid w:val="00B026CA"/>
    <w:rsid w:val="00B06A0B"/>
    <w:rsid w:val="00B07798"/>
    <w:rsid w:val="00B12BB3"/>
    <w:rsid w:val="00B14D03"/>
    <w:rsid w:val="00B16DBE"/>
    <w:rsid w:val="00B16F2A"/>
    <w:rsid w:val="00B17AAE"/>
    <w:rsid w:val="00B21566"/>
    <w:rsid w:val="00B243A8"/>
    <w:rsid w:val="00B2510A"/>
    <w:rsid w:val="00B255C7"/>
    <w:rsid w:val="00B31A93"/>
    <w:rsid w:val="00B33475"/>
    <w:rsid w:val="00B334B9"/>
    <w:rsid w:val="00B3370F"/>
    <w:rsid w:val="00B34110"/>
    <w:rsid w:val="00B459C6"/>
    <w:rsid w:val="00B47859"/>
    <w:rsid w:val="00B53029"/>
    <w:rsid w:val="00B5327B"/>
    <w:rsid w:val="00B539B3"/>
    <w:rsid w:val="00B547A9"/>
    <w:rsid w:val="00B601D7"/>
    <w:rsid w:val="00B60878"/>
    <w:rsid w:val="00B60FA8"/>
    <w:rsid w:val="00B62D8B"/>
    <w:rsid w:val="00B665FA"/>
    <w:rsid w:val="00B67600"/>
    <w:rsid w:val="00B704A9"/>
    <w:rsid w:val="00B7132D"/>
    <w:rsid w:val="00B71423"/>
    <w:rsid w:val="00B72E8B"/>
    <w:rsid w:val="00B737D3"/>
    <w:rsid w:val="00B73B01"/>
    <w:rsid w:val="00B761AE"/>
    <w:rsid w:val="00B76373"/>
    <w:rsid w:val="00B828A4"/>
    <w:rsid w:val="00B93035"/>
    <w:rsid w:val="00B9391B"/>
    <w:rsid w:val="00B94D8A"/>
    <w:rsid w:val="00B954D0"/>
    <w:rsid w:val="00B96C56"/>
    <w:rsid w:val="00BA573A"/>
    <w:rsid w:val="00BB1B03"/>
    <w:rsid w:val="00BB3366"/>
    <w:rsid w:val="00BB42F2"/>
    <w:rsid w:val="00BB54F8"/>
    <w:rsid w:val="00BB5FE1"/>
    <w:rsid w:val="00BB75F6"/>
    <w:rsid w:val="00BB7658"/>
    <w:rsid w:val="00BB7BD4"/>
    <w:rsid w:val="00BC11B4"/>
    <w:rsid w:val="00BC20E8"/>
    <w:rsid w:val="00BD64A3"/>
    <w:rsid w:val="00BE158A"/>
    <w:rsid w:val="00BE295B"/>
    <w:rsid w:val="00BE3D91"/>
    <w:rsid w:val="00BE3FFB"/>
    <w:rsid w:val="00BE4994"/>
    <w:rsid w:val="00BE566A"/>
    <w:rsid w:val="00BF0945"/>
    <w:rsid w:val="00BF4D5F"/>
    <w:rsid w:val="00BF56CE"/>
    <w:rsid w:val="00BF620E"/>
    <w:rsid w:val="00C002CC"/>
    <w:rsid w:val="00C015CF"/>
    <w:rsid w:val="00C07400"/>
    <w:rsid w:val="00C07F12"/>
    <w:rsid w:val="00C11BCE"/>
    <w:rsid w:val="00C132DA"/>
    <w:rsid w:val="00C2138B"/>
    <w:rsid w:val="00C2682F"/>
    <w:rsid w:val="00C3150B"/>
    <w:rsid w:val="00C3393E"/>
    <w:rsid w:val="00C33B81"/>
    <w:rsid w:val="00C34430"/>
    <w:rsid w:val="00C35AB0"/>
    <w:rsid w:val="00C36B85"/>
    <w:rsid w:val="00C40ED6"/>
    <w:rsid w:val="00C41357"/>
    <w:rsid w:val="00C42E29"/>
    <w:rsid w:val="00C4511B"/>
    <w:rsid w:val="00C4648E"/>
    <w:rsid w:val="00C46D9D"/>
    <w:rsid w:val="00C47793"/>
    <w:rsid w:val="00C50067"/>
    <w:rsid w:val="00C50F27"/>
    <w:rsid w:val="00C53810"/>
    <w:rsid w:val="00C5457D"/>
    <w:rsid w:val="00C563BB"/>
    <w:rsid w:val="00C56B42"/>
    <w:rsid w:val="00C5752E"/>
    <w:rsid w:val="00C576AC"/>
    <w:rsid w:val="00C6008E"/>
    <w:rsid w:val="00C61797"/>
    <w:rsid w:val="00C62F79"/>
    <w:rsid w:val="00C66EFB"/>
    <w:rsid w:val="00C7098B"/>
    <w:rsid w:val="00C70BF8"/>
    <w:rsid w:val="00C74BB7"/>
    <w:rsid w:val="00C74CBB"/>
    <w:rsid w:val="00C76136"/>
    <w:rsid w:val="00C769E0"/>
    <w:rsid w:val="00C83AC8"/>
    <w:rsid w:val="00C85BA2"/>
    <w:rsid w:val="00C8762A"/>
    <w:rsid w:val="00C8788C"/>
    <w:rsid w:val="00C92C06"/>
    <w:rsid w:val="00C932C8"/>
    <w:rsid w:val="00C944F7"/>
    <w:rsid w:val="00C94690"/>
    <w:rsid w:val="00C94875"/>
    <w:rsid w:val="00C94B92"/>
    <w:rsid w:val="00C95186"/>
    <w:rsid w:val="00C95C00"/>
    <w:rsid w:val="00C95D9C"/>
    <w:rsid w:val="00C967A0"/>
    <w:rsid w:val="00CA1036"/>
    <w:rsid w:val="00CA1BCF"/>
    <w:rsid w:val="00CA6EFC"/>
    <w:rsid w:val="00CA762C"/>
    <w:rsid w:val="00CB4DAE"/>
    <w:rsid w:val="00CC4405"/>
    <w:rsid w:val="00CC5BD9"/>
    <w:rsid w:val="00CC5BF3"/>
    <w:rsid w:val="00CC6558"/>
    <w:rsid w:val="00CC72CB"/>
    <w:rsid w:val="00CD1CBD"/>
    <w:rsid w:val="00CD487F"/>
    <w:rsid w:val="00CE019A"/>
    <w:rsid w:val="00CE0740"/>
    <w:rsid w:val="00CE3FB6"/>
    <w:rsid w:val="00CE55C4"/>
    <w:rsid w:val="00CE789A"/>
    <w:rsid w:val="00CE7C30"/>
    <w:rsid w:val="00CF00DA"/>
    <w:rsid w:val="00CF01EA"/>
    <w:rsid w:val="00CF367D"/>
    <w:rsid w:val="00CF3E7D"/>
    <w:rsid w:val="00CF5DA4"/>
    <w:rsid w:val="00CF6FEB"/>
    <w:rsid w:val="00CF7B93"/>
    <w:rsid w:val="00D02F2B"/>
    <w:rsid w:val="00D045BF"/>
    <w:rsid w:val="00D062FE"/>
    <w:rsid w:val="00D078F1"/>
    <w:rsid w:val="00D1082D"/>
    <w:rsid w:val="00D10C0B"/>
    <w:rsid w:val="00D23003"/>
    <w:rsid w:val="00D25327"/>
    <w:rsid w:val="00D27083"/>
    <w:rsid w:val="00D27651"/>
    <w:rsid w:val="00D36F25"/>
    <w:rsid w:val="00D41FBC"/>
    <w:rsid w:val="00D422B8"/>
    <w:rsid w:val="00D51797"/>
    <w:rsid w:val="00D54D17"/>
    <w:rsid w:val="00D574A4"/>
    <w:rsid w:val="00D5782D"/>
    <w:rsid w:val="00D60BCE"/>
    <w:rsid w:val="00D641CC"/>
    <w:rsid w:val="00D64F5E"/>
    <w:rsid w:val="00D717A1"/>
    <w:rsid w:val="00D717D2"/>
    <w:rsid w:val="00D729BA"/>
    <w:rsid w:val="00D73C07"/>
    <w:rsid w:val="00D74FED"/>
    <w:rsid w:val="00D754B1"/>
    <w:rsid w:val="00D7706C"/>
    <w:rsid w:val="00D81F7F"/>
    <w:rsid w:val="00D83B27"/>
    <w:rsid w:val="00D83B75"/>
    <w:rsid w:val="00D84910"/>
    <w:rsid w:val="00D865E8"/>
    <w:rsid w:val="00D902B2"/>
    <w:rsid w:val="00D97AD3"/>
    <w:rsid w:val="00D97E93"/>
    <w:rsid w:val="00DA06EB"/>
    <w:rsid w:val="00DA108E"/>
    <w:rsid w:val="00DA3DDD"/>
    <w:rsid w:val="00DA4594"/>
    <w:rsid w:val="00DB26B0"/>
    <w:rsid w:val="00DB376B"/>
    <w:rsid w:val="00DB4EB0"/>
    <w:rsid w:val="00DB63D9"/>
    <w:rsid w:val="00DC1BAB"/>
    <w:rsid w:val="00DC596D"/>
    <w:rsid w:val="00DD0FD4"/>
    <w:rsid w:val="00DD1B0F"/>
    <w:rsid w:val="00DD283C"/>
    <w:rsid w:val="00DD377B"/>
    <w:rsid w:val="00DD4700"/>
    <w:rsid w:val="00DE016C"/>
    <w:rsid w:val="00DE0698"/>
    <w:rsid w:val="00DE2621"/>
    <w:rsid w:val="00E00522"/>
    <w:rsid w:val="00E03E29"/>
    <w:rsid w:val="00E06E1E"/>
    <w:rsid w:val="00E11ED2"/>
    <w:rsid w:val="00E12E0D"/>
    <w:rsid w:val="00E1406A"/>
    <w:rsid w:val="00E143C2"/>
    <w:rsid w:val="00E1647C"/>
    <w:rsid w:val="00E177BA"/>
    <w:rsid w:val="00E3011F"/>
    <w:rsid w:val="00E323F3"/>
    <w:rsid w:val="00E3477C"/>
    <w:rsid w:val="00E40E5E"/>
    <w:rsid w:val="00E41D02"/>
    <w:rsid w:val="00E45D5F"/>
    <w:rsid w:val="00E51F16"/>
    <w:rsid w:val="00E543C8"/>
    <w:rsid w:val="00E57098"/>
    <w:rsid w:val="00E57687"/>
    <w:rsid w:val="00E616BB"/>
    <w:rsid w:val="00E63164"/>
    <w:rsid w:val="00E70249"/>
    <w:rsid w:val="00E712A6"/>
    <w:rsid w:val="00E7239F"/>
    <w:rsid w:val="00E746F1"/>
    <w:rsid w:val="00E82CB7"/>
    <w:rsid w:val="00E82F4E"/>
    <w:rsid w:val="00E84E7E"/>
    <w:rsid w:val="00E8516D"/>
    <w:rsid w:val="00E8700B"/>
    <w:rsid w:val="00E875CE"/>
    <w:rsid w:val="00E95ABB"/>
    <w:rsid w:val="00E96CCA"/>
    <w:rsid w:val="00E97C12"/>
    <w:rsid w:val="00EA07FE"/>
    <w:rsid w:val="00EA1568"/>
    <w:rsid w:val="00EA5B0E"/>
    <w:rsid w:val="00EB1F8F"/>
    <w:rsid w:val="00EB3E8D"/>
    <w:rsid w:val="00EB5B4E"/>
    <w:rsid w:val="00EB771A"/>
    <w:rsid w:val="00EC7DB0"/>
    <w:rsid w:val="00ED2B99"/>
    <w:rsid w:val="00ED6E7A"/>
    <w:rsid w:val="00EE02FA"/>
    <w:rsid w:val="00EE473B"/>
    <w:rsid w:val="00EE494B"/>
    <w:rsid w:val="00EE4F98"/>
    <w:rsid w:val="00EE69FB"/>
    <w:rsid w:val="00EE7820"/>
    <w:rsid w:val="00EF0515"/>
    <w:rsid w:val="00EF23ED"/>
    <w:rsid w:val="00EF3A35"/>
    <w:rsid w:val="00EF496F"/>
    <w:rsid w:val="00EF4BB3"/>
    <w:rsid w:val="00EF6B9D"/>
    <w:rsid w:val="00F025A9"/>
    <w:rsid w:val="00F06A35"/>
    <w:rsid w:val="00F12D4A"/>
    <w:rsid w:val="00F14028"/>
    <w:rsid w:val="00F16822"/>
    <w:rsid w:val="00F174C4"/>
    <w:rsid w:val="00F247E1"/>
    <w:rsid w:val="00F26FEB"/>
    <w:rsid w:val="00F2751A"/>
    <w:rsid w:val="00F30D07"/>
    <w:rsid w:val="00F33490"/>
    <w:rsid w:val="00F34C68"/>
    <w:rsid w:val="00F37BDF"/>
    <w:rsid w:val="00F40BF8"/>
    <w:rsid w:val="00F41840"/>
    <w:rsid w:val="00F43A92"/>
    <w:rsid w:val="00F5102F"/>
    <w:rsid w:val="00F51B3A"/>
    <w:rsid w:val="00F55348"/>
    <w:rsid w:val="00F667FF"/>
    <w:rsid w:val="00F67AF6"/>
    <w:rsid w:val="00F71539"/>
    <w:rsid w:val="00F715C3"/>
    <w:rsid w:val="00F7199A"/>
    <w:rsid w:val="00F72125"/>
    <w:rsid w:val="00F72BA9"/>
    <w:rsid w:val="00F74923"/>
    <w:rsid w:val="00F826F9"/>
    <w:rsid w:val="00F8320A"/>
    <w:rsid w:val="00F83F42"/>
    <w:rsid w:val="00F8799E"/>
    <w:rsid w:val="00F9095B"/>
    <w:rsid w:val="00F9408C"/>
    <w:rsid w:val="00F9468D"/>
    <w:rsid w:val="00F947C7"/>
    <w:rsid w:val="00F94E22"/>
    <w:rsid w:val="00F953C3"/>
    <w:rsid w:val="00F96E9F"/>
    <w:rsid w:val="00F97EC9"/>
    <w:rsid w:val="00FA0A2A"/>
    <w:rsid w:val="00FA1BC6"/>
    <w:rsid w:val="00FA1C4C"/>
    <w:rsid w:val="00FA3E30"/>
    <w:rsid w:val="00FB2331"/>
    <w:rsid w:val="00FC0A85"/>
    <w:rsid w:val="00FC514F"/>
    <w:rsid w:val="00FC566E"/>
    <w:rsid w:val="00FC736B"/>
    <w:rsid w:val="00FD2F4B"/>
    <w:rsid w:val="00FD4315"/>
    <w:rsid w:val="00FD65D3"/>
    <w:rsid w:val="00FD6C92"/>
    <w:rsid w:val="00FD7754"/>
    <w:rsid w:val="00FE0E27"/>
    <w:rsid w:val="00FE5F84"/>
    <w:rsid w:val="00FE664E"/>
    <w:rsid w:val="00FF071B"/>
    <w:rsid w:val="00FF265B"/>
    <w:rsid w:val="00FF317A"/>
    <w:rsid w:val="00FF3B7F"/>
    <w:rsid w:val="00FF5F26"/>
    <w:rsid w:val="00FF7ADB"/>
    <w:rsid w:val="0FBD7B17"/>
    <w:rsid w:val="26A6328A"/>
    <w:rsid w:val="2B4841DE"/>
    <w:rsid w:val="2D90E99C"/>
    <w:rsid w:val="3F1C730B"/>
    <w:rsid w:val="44A59C3E"/>
    <w:rsid w:val="51FB3B1A"/>
    <w:rsid w:val="5634EE09"/>
    <w:rsid w:val="76251F93"/>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6007"/>
  <w15:chartTrackingRefBased/>
  <w15:docId w15:val="{E958ACFD-9A7F-49B4-BFCB-E7FFB57D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BF"/>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12D"/>
    <w:pPr>
      <w:tabs>
        <w:tab w:val="center" w:pos="4680"/>
        <w:tab w:val="right" w:pos="9360"/>
      </w:tabs>
    </w:pPr>
    <w:rPr>
      <w:rFonts w:asciiTheme="minorHAnsi" w:eastAsiaTheme="minorHAnsi" w:hAnsiTheme="minorHAnsi" w:cstheme="minorBidi"/>
      <w:lang w:val="en-CA"/>
    </w:rPr>
  </w:style>
  <w:style w:type="character" w:customStyle="1" w:styleId="HeaderChar">
    <w:name w:val="Header Char"/>
    <w:basedOn w:val="DefaultParagraphFont"/>
    <w:link w:val="Header"/>
    <w:uiPriority w:val="99"/>
    <w:rsid w:val="0026312D"/>
  </w:style>
  <w:style w:type="paragraph" w:styleId="Footer">
    <w:name w:val="footer"/>
    <w:basedOn w:val="Normal"/>
    <w:link w:val="FooterChar"/>
    <w:uiPriority w:val="99"/>
    <w:unhideWhenUsed/>
    <w:rsid w:val="0026312D"/>
    <w:pPr>
      <w:tabs>
        <w:tab w:val="center" w:pos="4680"/>
        <w:tab w:val="right" w:pos="9360"/>
      </w:tabs>
    </w:pPr>
    <w:rPr>
      <w:rFonts w:asciiTheme="minorHAnsi" w:eastAsiaTheme="minorHAnsi" w:hAnsiTheme="minorHAnsi" w:cstheme="minorBidi"/>
      <w:lang w:val="en-CA"/>
    </w:rPr>
  </w:style>
  <w:style w:type="character" w:customStyle="1" w:styleId="FooterChar">
    <w:name w:val="Footer Char"/>
    <w:basedOn w:val="DefaultParagraphFont"/>
    <w:link w:val="Footer"/>
    <w:uiPriority w:val="99"/>
    <w:rsid w:val="0026312D"/>
  </w:style>
  <w:style w:type="character" w:styleId="PageNumber">
    <w:name w:val="page number"/>
    <w:basedOn w:val="DefaultParagraphFont"/>
    <w:uiPriority w:val="99"/>
    <w:semiHidden/>
    <w:unhideWhenUsed/>
    <w:rsid w:val="00EA1568"/>
  </w:style>
  <w:style w:type="character" w:styleId="Hyperlink">
    <w:name w:val="Hyperlink"/>
    <w:basedOn w:val="DefaultParagraphFont"/>
    <w:uiPriority w:val="99"/>
    <w:unhideWhenUsed/>
    <w:rsid w:val="00D045BF"/>
    <w:rPr>
      <w:color w:val="0000FF"/>
      <w:u w:val="single"/>
    </w:rPr>
  </w:style>
  <w:style w:type="paragraph" w:styleId="BalloonText">
    <w:name w:val="Balloon Text"/>
    <w:basedOn w:val="Normal"/>
    <w:link w:val="BalloonTextChar"/>
    <w:uiPriority w:val="99"/>
    <w:semiHidden/>
    <w:unhideWhenUsed/>
    <w:rsid w:val="001A7E87"/>
    <w:rPr>
      <w:sz w:val="18"/>
      <w:szCs w:val="18"/>
    </w:rPr>
  </w:style>
  <w:style w:type="character" w:customStyle="1" w:styleId="BalloonTextChar">
    <w:name w:val="Balloon Text Char"/>
    <w:basedOn w:val="DefaultParagraphFont"/>
    <w:link w:val="BalloonText"/>
    <w:uiPriority w:val="99"/>
    <w:semiHidden/>
    <w:rsid w:val="001A7E87"/>
    <w:rPr>
      <w:rFonts w:ascii="Times New Roman" w:eastAsia="Times New Roman" w:hAnsi="Times New Roman" w:cs="Times New Roman"/>
      <w:sz w:val="18"/>
      <w:szCs w:val="18"/>
      <w:lang w:val="en-US"/>
    </w:rPr>
  </w:style>
  <w:style w:type="table" w:styleId="TableGrid">
    <w:name w:val="Table Grid"/>
    <w:basedOn w:val="TableNormal"/>
    <w:uiPriority w:val="39"/>
    <w:rsid w:val="008F3D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B3366"/>
    <w:rPr>
      <w:color w:val="605E5C"/>
      <w:shd w:val="clear" w:color="auto" w:fill="E1DFDD"/>
    </w:rPr>
  </w:style>
  <w:style w:type="paragraph" w:customStyle="1" w:styleId="paragraph">
    <w:name w:val="paragraph"/>
    <w:basedOn w:val="Normal"/>
    <w:rsid w:val="001A3DCA"/>
    <w:pPr>
      <w:spacing w:before="100" w:beforeAutospacing="1" w:after="100" w:afterAutospacing="1"/>
    </w:pPr>
    <w:rPr>
      <w:lang w:val="en-CA" w:eastAsia="en-CA"/>
    </w:rPr>
  </w:style>
  <w:style w:type="character" w:customStyle="1" w:styleId="normaltextrun">
    <w:name w:val="normaltextrun"/>
    <w:basedOn w:val="DefaultParagraphFont"/>
    <w:rsid w:val="001A3DCA"/>
  </w:style>
  <w:style w:type="character" w:customStyle="1" w:styleId="eop">
    <w:name w:val="eop"/>
    <w:basedOn w:val="DefaultParagraphFont"/>
    <w:rsid w:val="001A3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3941">
      <w:bodyDiv w:val="1"/>
      <w:marLeft w:val="0"/>
      <w:marRight w:val="0"/>
      <w:marTop w:val="0"/>
      <w:marBottom w:val="0"/>
      <w:divBdr>
        <w:top w:val="none" w:sz="0" w:space="0" w:color="auto"/>
        <w:left w:val="none" w:sz="0" w:space="0" w:color="auto"/>
        <w:bottom w:val="none" w:sz="0" w:space="0" w:color="auto"/>
        <w:right w:val="none" w:sz="0" w:space="0" w:color="auto"/>
      </w:divBdr>
    </w:div>
    <w:div w:id="20590678">
      <w:bodyDiv w:val="1"/>
      <w:marLeft w:val="0"/>
      <w:marRight w:val="0"/>
      <w:marTop w:val="0"/>
      <w:marBottom w:val="0"/>
      <w:divBdr>
        <w:top w:val="none" w:sz="0" w:space="0" w:color="auto"/>
        <w:left w:val="none" w:sz="0" w:space="0" w:color="auto"/>
        <w:bottom w:val="none" w:sz="0" w:space="0" w:color="auto"/>
        <w:right w:val="none" w:sz="0" w:space="0" w:color="auto"/>
      </w:divBdr>
    </w:div>
    <w:div w:id="63264322">
      <w:bodyDiv w:val="1"/>
      <w:marLeft w:val="0"/>
      <w:marRight w:val="0"/>
      <w:marTop w:val="0"/>
      <w:marBottom w:val="0"/>
      <w:divBdr>
        <w:top w:val="none" w:sz="0" w:space="0" w:color="auto"/>
        <w:left w:val="none" w:sz="0" w:space="0" w:color="auto"/>
        <w:bottom w:val="none" w:sz="0" w:space="0" w:color="auto"/>
        <w:right w:val="none" w:sz="0" w:space="0" w:color="auto"/>
      </w:divBdr>
    </w:div>
    <w:div w:id="76682986">
      <w:bodyDiv w:val="1"/>
      <w:marLeft w:val="0"/>
      <w:marRight w:val="0"/>
      <w:marTop w:val="0"/>
      <w:marBottom w:val="0"/>
      <w:divBdr>
        <w:top w:val="none" w:sz="0" w:space="0" w:color="auto"/>
        <w:left w:val="none" w:sz="0" w:space="0" w:color="auto"/>
        <w:bottom w:val="none" w:sz="0" w:space="0" w:color="auto"/>
        <w:right w:val="none" w:sz="0" w:space="0" w:color="auto"/>
      </w:divBdr>
    </w:div>
    <w:div w:id="157816926">
      <w:bodyDiv w:val="1"/>
      <w:marLeft w:val="0"/>
      <w:marRight w:val="0"/>
      <w:marTop w:val="0"/>
      <w:marBottom w:val="0"/>
      <w:divBdr>
        <w:top w:val="none" w:sz="0" w:space="0" w:color="auto"/>
        <w:left w:val="none" w:sz="0" w:space="0" w:color="auto"/>
        <w:bottom w:val="none" w:sz="0" w:space="0" w:color="auto"/>
        <w:right w:val="none" w:sz="0" w:space="0" w:color="auto"/>
      </w:divBdr>
    </w:div>
    <w:div w:id="180946346">
      <w:bodyDiv w:val="1"/>
      <w:marLeft w:val="0"/>
      <w:marRight w:val="0"/>
      <w:marTop w:val="0"/>
      <w:marBottom w:val="0"/>
      <w:divBdr>
        <w:top w:val="none" w:sz="0" w:space="0" w:color="auto"/>
        <w:left w:val="none" w:sz="0" w:space="0" w:color="auto"/>
        <w:bottom w:val="none" w:sz="0" w:space="0" w:color="auto"/>
        <w:right w:val="none" w:sz="0" w:space="0" w:color="auto"/>
      </w:divBdr>
    </w:div>
    <w:div w:id="254364690">
      <w:bodyDiv w:val="1"/>
      <w:marLeft w:val="0"/>
      <w:marRight w:val="0"/>
      <w:marTop w:val="0"/>
      <w:marBottom w:val="0"/>
      <w:divBdr>
        <w:top w:val="none" w:sz="0" w:space="0" w:color="auto"/>
        <w:left w:val="none" w:sz="0" w:space="0" w:color="auto"/>
        <w:bottom w:val="none" w:sz="0" w:space="0" w:color="auto"/>
        <w:right w:val="none" w:sz="0" w:space="0" w:color="auto"/>
      </w:divBdr>
    </w:div>
    <w:div w:id="330645577">
      <w:bodyDiv w:val="1"/>
      <w:marLeft w:val="0"/>
      <w:marRight w:val="0"/>
      <w:marTop w:val="0"/>
      <w:marBottom w:val="0"/>
      <w:divBdr>
        <w:top w:val="none" w:sz="0" w:space="0" w:color="auto"/>
        <w:left w:val="none" w:sz="0" w:space="0" w:color="auto"/>
        <w:bottom w:val="none" w:sz="0" w:space="0" w:color="auto"/>
        <w:right w:val="none" w:sz="0" w:space="0" w:color="auto"/>
      </w:divBdr>
    </w:div>
    <w:div w:id="428089386">
      <w:bodyDiv w:val="1"/>
      <w:marLeft w:val="0"/>
      <w:marRight w:val="0"/>
      <w:marTop w:val="0"/>
      <w:marBottom w:val="0"/>
      <w:divBdr>
        <w:top w:val="none" w:sz="0" w:space="0" w:color="auto"/>
        <w:left w:val="none" w:sz="0" w:space="0" w:color="auto"/>
        <w:bottom w:val="none" w:sz="0" w:space="0" w:color="auto"/>
        <w:right w:val="none" w:sz="0" w:space="0" w:color="auto"/>
      </w:divBdr>
    </w:div>
    <w:div w:id="515928445">
      <w:bodyDiv w:val="1"/>
      <w:marLeft w:val="0"/>
      <w:marRight w:val="0"/>
      <w:marTop w:val="0"/>
      <w:marBottom w:val="0"/>
      <w:divBdr>
        <w:top w:val="none" w:sz="0" w:space="0" w:color="auto"/>
        <w:left w:val="none" w:sz="0" w:space="0" w:color="auto"/>
        <w:bottom w:val="none" w:sz="0" w:space="0" w:color="auto"/>
        <w:right w:val="none" w:sz="0" w:space="0" w:color="auto"/>
      </w:divBdr>
    </w:div>
    <w:div w:id="571040802">
      <w:bodyDiv w:val="1"/>
      <w:marLeft w:val="0"/>
      <w:marRight w:val="0"/>
      <w:marTop w:val="0"/>
      <w:marBottom w:val="0"/>
      <w:divBdr>
        <w:top w:val="none" w:sz="0" w:space="0" w:color="auto"/>
        <w:left w:val="none" w:sz="0" w:space="0" w:color="auto"/>
        <w:bottom w:val="none" w:sz="0" w:space="0" w:color="auto"/>
        <w:right w:val="none" w:sz="0" w:space="0" w:color="auto"/>
      </w:divBdr>
    </w:div>
    <w:div w:id="632713436">
      <w:bodyDiv w:val="1"/>
      <w:marLeft w:val="0"/>
      <w:marRight w:val="0"/>
      <w:marTop w:val="0"/>
      <w:marBottom w:val="0"/>
      <w:divBdr>
        <w:top w:val="none" w:sz="0" w:space="0" w:color="auto"/>
        <w:left w:val="none" w:sz="0" w:space="0" w:color="auto"/>
        <w:bottom w:val="none" w:sz="0" w:space="0" w:color="auto"/>
        <w:right w:val="none" w:sz="0" w:space="0" w:color="auto"/>
      </w:divBdr>
    </w:div>
    <w:div w:id="902524018">
      <w:bodyDiv w:val="1"/>
      <w:marLeft w:val="0"/>
      <w:marRight w:val="0"/>
      <w:marTop w:val="0"/>
      <w:marBottom w:val="0"/>
      <w:divBdr>
        <w:top w:val="none" w:sz="0" w:space="0" w:color="auto"/>
        <w:left w:val="none" w:sz="0" w:space="0" w:color="auto"/>
        <w:bottom w:val="none" w:sz="0" w:space="0" w:color="auto"/>
        <w:right w:val="none" w:sz="0" w:space="0" w:color="auto"/>
      </w:divBdr>
    </w:div>
    <w:div w:id="949047587">
      <w:bodyDiv w:val="1"/>
      <w:marLeft w:val="0"/>
      <w:marRight w:val="0"/>
      <w:marTop w:val="0"/>
      <w:marBottom w:val="0"/>
      <w:divBdr>
        <w:top w:val="none" w:sz="0" w:space="0" w:color="auto"/>
        <w:left w:val="none" w:sz="0" w:space="0" w:color="auto"/>
        <w:bottom w:val="none" w:sz="0" w:space="0" w:color="auto"/>
        <w:right w:val="none" w:sz="0" w:space="0" w:color="auto"/>
      </w:divBdr>
    </w:div>
    <w:div w:id="953899023">
      <w:bodyDiv w:val="1"/>
      <w:marLeft w:val="0"/>
      <w:marRight w:val="0"/>
      <w:marTop w:val="0"/>
      <w:marBottom w:val="0"/>
      <w:divBdr>
        <w:top w:val="none" w:sz="0" w:space="0" w:color="auto"/>
        <w:left w:val="none" w:sz="0" w:space="0" w:color="auto"/>
        <w:bottom w:val="none" w:sz="0" w:space="0" w:color="auto"/>
        <w:right w:val="none" w:sz="0" w:space="0" w:color="auto"/>
      </w:divBdr>
    </w:div>
    <w:div w:id="1060910137">
      <w:bodyDiv w:val="1"/>
      <w:marLeft w:val="0"/>
      <w:marRight w:val="0"/>
      <w:marTop w:val="0"/>
      <w:marBottom w:val="0"/>
      <w:divBdr>
        <w:top w:val="none" w:sz="0" w:space="0" w:color="auto"/>
        <w:left w:val="none" w:sz="0" w:space="0" w:color="auto"/>
        <w:bottom w:val="none" w:sz="0" w:space="0" w:color="auto"/>
        <w:right w:val="none" w:sz="0" w:space="0" w:color="auto"/>
      </w:divBdr>
    </w:div>
    <w:div w:id="1250232667">
      <w:bodyDiv w:val="1"/>
      <w:marLeft w:val="0"/>
      <w:marRight w:val="0"/>
      <w:marTop w:val="0"/>
      <w:marBottom w:val="0"/>
      <w:divBdr>
        <w:top w:val="none" w:sz="0" w:space="0" w:color="auto"/>
        <w:left w:val="none" w:sz="0" w:space="0" w:color="auto"/>
        <w:bottom w:val="none" w:sz="0" w:space="0" w:color="auto"/>
        <w:right w:val="none" w:sz="0" w:space="0" w:color="auto"/>
      </w:divBdr>
    </w:div>
    <w:div w:id="1575361589">
      <w:bodyDiv w:val="1"/>
      <w:marLeft w:val="0"/>
      <w:marRight w:val="0"/>
      <w:marTop w:val="0"/>
      <w:marBottom w:val="0"/>
      <w:divBdr>
        <w:top w:val="none" w:sz="0" w:space="0" w:color="auto"/>
        <w:left w:val="none" w:sz="0" w:space="0" w:color="auto"/>
        <w:bottom w:val="none" w:sz="0" w:space="0" w:color="auto"/>
        <w:right w:val="none" w:sz="0" w:space="0" w:color="auto"/>
      </w:divBdr>
    </w:div>
    <w:div w:id="1599603214">
      <w:bodyDiv w:val="1"/>
      <w:marLeft w:val="0"/>
      <w:marRight w:val="0"/>
      <w:marTop w:val="0"/>
      <w:marBottom w:val="0"/>
      <w:divBdr>
        <w:top w:val="none" w:sz="0" w:space="0" w:color="auto"/>
        <w:left w:val="none" w:sz="0" w:space="0" w:color="auto"/>
        <w:bottom w:val="none" w:sz="0" w:space="0" w:color="auto"/>
        <w:right w:val="none" w:sz="0" w:space="0" w:color="auto"/>
      </w:divBdr>
    </w:div>
    <w:div w:id="1793667702">
      <w:bodyDiv w:val="1"/>
      <w:marLeft w:val="0"/>
      <w:marRight w:val="0"/>
      <w:marTop w:val="0"/>
      <w:marBottom w:val="0"/>
      <w:divBdr>
        <w:top w:val="none" w:sz="0" w:space="0" w:color="auto"/>
        <w:left w:val="none" w:sz="0" w:space="0" w:color="auto"/>
        <w:bottom w:val="none" w:sz="0" w:space="0" w:color="auto"/>
        <w:right w:val="none" w:sz="0" w:space="0" w:color="auto"/>
      </w:divBdr>
    </w:div>
    <w:div w:id="1811635560">
      <w:bodyDiv w:val="1"/>
      <w:marLeft w:val="0"/>
      <w:marRight w:val="0"/>
      <w:marTop w:val="0"/>
      <w:marBottom w:val="0"/>
      <w:divBdr>
        <w:top w:val="none" w:sz="0" w:space="0" w:color="auto"/>
        <w:left w:val="none" w:sz="0" w:space="0" w:color="auto"/>
        <w:bottom w:val="none" w:sz="0" w:space="0" w:color="auto"/>
        <w:right w:val="none" w:sz="0" w:space="0" w:color="auto"/>
      </w:divBdr>
    </w:div>
    <w:div w:id="1840652559">
      <w:bodyDiv w:val="1"/>
      <w:marLeft w:val="0"/>
      <w:marRight w:val="0"/>
      <w:marTop w:val="0"/>
      <w:marBottom w:val="0"/>
      <w:divBdr>
        <w:top w:val="none" w:sz="0" w:space="0" w:color="auto"/>
        <w:left w:val="none" w:sz="0" w:space="0" w:color="auto"/>
        <w:bottom w:val="none" w:sz="0" w:space="0" w:color="auto"/>
        <w:right w:val="none" w:sz="0" w:space="0" w:color="auto"/>
      </w:divBdr>
    </w:div>
    <w:div w:id="1868132350">
      <w:bodyDiv w:val="1"/>
      <w:marLeft w:val="0"/>
      <w:marRight w:val="0"/>
      <w:marTop w:val="0"/>
      <w:marBottom w:val="0"/>
      <w:divBdr>
        <w:top w:val="none" w:sz="0" w:space="0" w:color="auto"/>
        <w:left w:val="none" w:sz="0" w:space="0" w:color="auto"/>
        <w:bottom w:val="none" w:sz="0" w:space="0" w:color="auto"/>
        <w:right w:val="none" w:sz="0" w:space="0" w:color="auto"/>
      </w:divBdr>
    </w:div>
    <w:div w:id="1872181581">
      <w:bodyDiv w:val="1"/>
      <w:marLeft w:val="0"/>
      <w:marRight w:val="0"/>
      <w:marTop w:val="0"/>
      <w:marBottom w:val="0"/>
      <w:divBdr>
        <w:top w:val="none" w:sz="0" w:space="0" w:color="auto"/>
        <w:left w:val="none" w:sz="0" w:space="0" w:color="auto"/>
        <w:bottom w:val="none" w:sz="0" w:space="0" w:color="auto"/>
        <w:right w:val="none" w:sz="0" w:space="0" w:color="auto"/>
      </w:divBdr>
    </w:div>
    <w:div w:id="1912614771">
      <w:bodyDiv w:val="1"/>
      <w:marLeft w:val="0"/>
      <w:marRight w:val="0"/>
      <w:marTop w:val="0"/>
      <w:marBottom w:val="0"/>
      <w:divBdr>
        <w:top w:val="none" w:sz="0" w:space="0" w:color="auto"/>
        <w:left w:val="none" w:sz="0" w:space="0" w:color="auto"/>
        <w:bottom w:val="none" w:sz="0" w:space="0" w:color="auto"/>
        <w:right w:val="none" w:sz="0" w:space="0" w:color="auto"/>
      </w:divBdr>
    </w:div>
    <w:div w:id="1934823734">
      <w:bodyDiv w:val="1"/>
      <w:marLeft w:val="0"/>
      <w:marRight w:val="0"/>
      <w:marTop w:val="0"/>
      <w:marBottom w:val="0"/>
      <w:divBdr>
        <w:top w:val="none" w:sz="0" w:space="0" w:color="auto"/>
        <w:left w:val="none" w:sz="0" w:space="0" w:color="auto"/>
        <w:bottom w:val="none" w:sz="0" w:space="0" w:color="auto"/>
        <w:right w:val="none" w:sz="0" w:space="0" w:color="auto"/>
      </w:divBdr>
    </w:div>
    <w:div w:id="211636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red.stlouisfed.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treasury.gov/resource-center/data-chart-center/interest-rat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treasury.gov/resource-center/data-chart-center/interest-rate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Government</a:t>
            </a:r>
            <a:r>
              <a:rPr lang="en-US" sz="1200" b="1"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 Bond Yield Curves</a:t>
            </a:r>
          </a:p>
          <a:p>
            <a:pPr>
              <a:defRPr/>
            </a:pPr>
            <a:r>
              <a:rPr lang="en-US" sz="1000" b="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As of October 30, 2025</a:t>
            </a:r>
            <a:endParaRPr lang="en-US" sz="1000" b="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Canada</c:v>
                </c:pt>
              </c:strCache>
            </c:strRef>
          </c:tx>
          <c:spPr>
            <a:ln w="19050" cap="rnd">
              <a:solidFill>
                <a:srgbClr val="0A863D"/>
              </a:solidFill>
              <a:round/>
            </a:ln>
            <a:effectLst/>
          </c:spPr>
          <c:marker>
            <c:symbol val="circle"/>
            <c:size val="5"/>
            <c:spPr>
              <a:solidFill>
                <a:schemeClr val="bg1"/>
              </a:solidFill>
              <a:ln w="12700">
                <a:solidFill>
                  <a:srgbClr val="0A863D"/>
                </a:solidFill>
              </a:ln>
              <a:effectLst/>
            </c:spPr>
          </c:marker>
          <c:xVal>
            <c:numRef>
              <c:f>Sheet1!$A$2:$A$10</c:f>
              <c:numCache>
                <c:formatCode>General</c:formatCode>
                <c:ptCount val="9"/>
                <c:pt idx="0">
                  <c:v>0</c:v>
                </c:pt>
                <c:pt idx="1">
                  <c:v>0.25</c:v>
                </c:pt>
                <c:pt idx="2">
                  <c:v>1</c:v>
                </c:pt>
                <c:pt idx="3">
                  <c:v>2</c:v>
                </c:pt>
                <c:pt idx="4">
                  <c:v>3</c:v>
                </c:pt>
                <c:pt idx="5">
                  <c:v>5</c:v>
                </c:pt>
                <c:pt idx="6">
                  <c:v>10</c:v>
                </c:pt>
                <c:pt idx="7">
                  <c:v>20</c:v>
                </c:pt>
                <c:pt idx="8">
                  <c:v>30</c:v>
                </c:pt>
              </c:numCache>
            </c:numRef>
          </c:xVal>
          <c:yVal>
            <c:numRef>
              <c:f>Sheet1!$B$2:$B$10</c:f>
              <c:numCache>
                <c:formatCode>0.00%</c:formatCode>
                <c:ptCount val="9"/>
                <c:pt idx="0">
                  <c:v>2.2700000000000001E-2</c:v>
                </c:pt>
                <c:pt idx="1">
                  <c:v>2.2499999999999999E-2</c:v>
                </c:pt>
                <c:pt idx="2">
                  <c:v>2.315E-2</c:v>
                </c:pt>
                <c:pt idx="3">
                  <c:v>2.3990000000000001E-2</c:v>
                </c:pt>
                <c:pt idx="4">
                  <c:v>2.4220000000000002E-2</c:v>
                </c:pt>
                <c:pt idx="5">
                  <c:v>2.7000000000000003E-2</c:v>
                </c:pt>
                <c:pt idx="6">
                  <c:v>3.1210000000000002E-2</c:v>
                </c:pt>
                <c:pt idx="7">
                  <c:v>3.4790000000000001E-2</c:v>
                </c:pt>
                <c:pt idx="8">
                  <c:v>3.5819999999999998E-2</c:v>
                </c:pt>
              </c:numCache>
            </c:numRef>
          </c:yVal>
          <c:smooth val="1"/>
          <c:extLst>
            <c:ext xmlns:c16="http://schemas.microsoft.com/office/drawing/2014/chart" uri="{C3380CC4-5D6E-409C-BE32-E72D297353CC}">
              <c16:uniqueId val="{00000000-191F-7C4C-A860-06EB58226D40}"/>
            </c:ext>
          </c:extLst>
        </c:ser>
        <c:ser>
          <c:idx val="1"/>
          <c:order val="1"/>
          <c:tx>
            <c:strRef>
              <c:f>Sheet1!$C$1</c:f>
              <c:strCache>
                <c:ptCount val="1"/>
                <c:pt idx="0">
                  <c:v>United States</c:v>
                </c:pt>
              </c:strCache>
            </c:strRef>
          </c:tx>
          <c:spPr>
            <a:ln w="19050" cap="rnd">
              <a:solidFill>
                <a:srgbClr val="469BBC"/>
              </a:solidFill>
              <a:round/>
            </a:ln>
            <a:effectLst/>
          </c:spPr>
          <c:marker>
            <c:symbol val="circle"/>
            <c:size val="5"/>
            <c:spPr>
              <a:solidFill>
                <a:schemeClr val="bg1"/>
              </a:solidFill>
              <a:ln w="12700">
                <a:solidFill>
                  <a:srgbClr val="469BBC"/>
                </a:solidFill>
              </a:ln>
              <a:effectLst/>
            </c:spPr>
          </c:marker>
          <c:xVal>
            <c:numRef>
              <c:f>Sheet1!$A$2:$A$10</c:f>
              <c:numCache>
                <c:formatCode>General</c:formatCode>
                <c:ptCount val="9"/>
                <c:pt idx="0">
                  <c:v>0</c:v>
                </c:pt>
                <c:pt idx="1">
                  <c:v>0.25</c:v>
                </c:pt>
                <c:pt idx="2">
                  <c:v>1</c:v>
                </c:pt>
                <c:pt idx="3">
                  <c:v>2</c:v>
                </c:pt>
                <c:pt idx="4">
                  <c:v>3</c:v>
                </c:pt>
                <c:pt idx="5">
                  <c:v>5</c:v>
                </c:pt>
                <c:pt idx="6">
                  <c:v>10</c:v>
                </c:pt>
                <c:pt idx="7">
                  <c:v>20</c:v>
                </c:pt>
                <c:pt idx="8">
                  <c:v>30</c:v>
                </c:pt>
              </c:numCache>
            </c:numRef>
          </c:xVal>
          <c:yVal>
            <c:numRef>
              <c:f>Sheet1!$C$2:$C$10</c:f>
              <c:numCache>
                <c:formatCode>0.00%</c:formatCode>
                <c:ptCount val="9"/>
                <c:pt idx="0">
                  <c:v>4.0599999999999997E-2</c:v>
                </c:pt>
                <c:pt idx="1">
                  <c:v>3.8900000000000004E-2</c:v>
                </c:pt>
                <c:pt idx="2">
                  <c:v>3.7000000000000005E-2</c:v>
                </c:pt>
                <c:pt idx="3">
                  <c:v>3.6000000000000004E-2</c:v>
                </c:pt>
                <c:pt idx="4">
                  <c:v>3.6000000000000004E-2</c:v>
                </c:pt>
                <c:pt idx="5">
                  <c:v>3.7100000000000001E-2</c:v>
                </c:pt>
                <c:pt idx="6">
                  <c:v>4.1100000000000005E-2</c:v>
                </c:pt>
                <c:pt idx="7">
                  <c:v>4.6500000000000007E-2</c:v>
                </c:pt>
                <c:pt idx="8">
                  <c:v>4.6699999999999998E-2</c:v>
                </c:pt>
              </c:numCache>
            </c:numRef>
          </c:yVal>
          <c:smooth val="1"/>
          <c:extLst>
            <c:ext xmlns:c16="http://schemas.microsoft.com/office/drawing/2014/chart" uri="{C3380CC4-5D6E-409C-BE32-E72D297353CC}">
              <c16:uniqueId val="{00000002-191F-7C4C-A860-06EB58226D40}"/>
            </c:ext>
          </c:extLst>
        </c:ser>
        <c:dLbls>
          <c:showLegendKey val="0"/>
          <c:showVal val="0"/>
          <c:showCatName val="0"/>
          <c:showSerName val="0"/>
          <c:showPercent val="0"/>
          <c:showBubbleSize val="0"/>
        </c:dLbls>
        <c:axId val="1640811184"/>
        <c:axId val="1661536368"/>
      </c:scatterChart>
      <c:valAx>
        <c:axId val="1640811184"/>
        <c:scaling>
          <c:orientation val="minMax"/>
          <c:max val="3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rgbClr val="469BBC"/>
                    </a:solidFill>
                    <a:latin typeface="Open Sans" panose="020B0606030504020204" pitchFamily="34" charset="0"/>
                    <a:ea typeface="Open Sans" panose="020B0606030504020204" pitchFamily="34" charset="0"/>
                    <a:cs typeface="Open Sans" panose="020B0606030504020204" pitchFamily="34" charset="0"/>
                  </a:defRPr>
                </a:pPr>
                <a:r>
                  <a:rPr lang="en-US">
                    <a:solidFill>
                      <a:srgbClr val="469BBC"/>
                    </a:solidFill>
                    <a:latin typeface="Open Sans" panose="020B0606030504020204" pitchFamily="34" charset="0"/>
                    <a:ea typeface="Open Sans" panose="020B0606030504020204" pitchFamily="34" charset="0"/>
                    <a:cs typeface="Open Sans" panose="020B0606030504020204" pitchFamily="34" charset="0"/>
                  </a:rPr>
                  <a:t>Year to Maturity</a:t>
                </a:r>
              </a:p>
            </c:rich>
          </c:tx>
          <c:overlay val="0"/>
          <c:spPr>
            <a:noFill/>
            <a:ln>
              <a:noFill/>
            </a:ln>
            <a:effectLst/>
          </c:spPr>
          <c:txPr>
            <a:bodyPr rot="0" spcFirstLastPara="1" vertOverflow="ellipsis" vert="horz" wrap="square" anchor="ctr" anchorCtr="1"/>
            <a:lstStyle/>
            <a:p>
              <a:pPr>
                <a:defRPr sz="1000" b="0" i="0" u="none" strike="noStrike" kern="1200" baseline="0">
                  <a:solidFill>
                    <a:srgbClr val="469BBC"/>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661536368"/>
        <c:crosses val="autoZero"/>
        <c:crossBetween val="midCat"/>
      </c:valAx>
      <c:valAx>
        <c:axId val="166153636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469BBC"/>
                    </a:solidFill>
                    <a:latin typeface="Open Sans" panose="020B0606030504020204" pitchFamily="34" charset="0"/>
                    <a:ea typeface="Open Sans" panose="020B0606030504020204" pitchFamily="34" charset="0"/>
                    <a:cs typeface="Open Sans" panose="020B0606030504020204" pitchFamily="34" charset="0"/>
                  </a:rPr>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640811184"/>
        <c:crosses val="autoZero"/>
        <c:crossBetween val="midCat"/>
        <c:majorUnit val="5.000000000000001E-3"/>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US Government</a:t>
            </a:r>
            <a:r>
              <a:rPr lang="en-US" sz="1200" b="1"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 Bond Yield Curves</a:t>
            </a:r>
          </a:p>
          <a:p>
            <a:pPr>
              <a:defRPr/>
            </a:pPr>
            <a:r>
              <a:rPr lang="en-US" sz="1000" b="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rPr>
              <a:t>Then and Now</a:t>
            </a:r>
            <a:endParaRPr lang="en-US" sz="1000" b="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smoothMarker"/>
        <c:varyColors val="0"/>
        <c:ser>
          <c:idx val="0"/>
          <c:order val="0"/>
          <c:tx>
            <c:strRef>
              <c:f>Sheet1!$B$1</c:f>
              <c:strCache>
                <c:ptCount val="1"/>
                <c:pt idx="0">
                  <c:v>Most Recent</c:v>
                </c:pt>
              </c:strCache>
            </c:strRef>
          </c:tx>
          <c:spPr>
            <a:ln w="19050" cap="rnd">
              <a:solidFill>
                <a:srgbClr val="0A863D"/>
              </a:solidFill>
              <a:round/>
            </a:ln>
            <a:effectLst/>
          </c:spPr>
          <c:marker>
            <c:symbol val="circle"/>
            <c:size val="5"/>
            <c:spPr>
              <a:solidFill>
                <a:schemeClr val="bg1"/>
              </a:solidFill>
              <a:ln w="12700">
                <a:solidFill>
                  <a:srgbClr val="0A863D"/>
                </a:solidFill>
              </a:ln>
              <a:effectLst/>
            </c:spPr>
          </c:marker>
          <c:xVal>
            <c:numRef>
              <c:f>Sheet1!$A$2:$A$9</c:f>
              <c:numCache>
                <c:formatCode>General</c:formatCode>
                <c:ptCount val="8"/>
                <c:pt idx="0">
                  <c:v>0</c:v>
                </c:pt>
                <c:pt idx="1">
                  <c:v>0.25</c:v>
                </c:pt>
                <c:pt idx="2">
                  <c:v>1</c:v>
                </c:pt>
                <c:pt idx="3">
                  <c:v>3</c:v>
                </c:pt>
                <c:pt idx="4">
                  <c:v>5</c:v>
                </c:pt>
                <c:pt idx="5">
                  <c:v>10</c:v>
                </c:pt>
                <c:pt idx="6">
                  <c:v>20</c:v>
                </c:pt>
                <c:pt idx="7">
                  <c:v>30</c:v>
                </c:pt>
              </c:numCache>
            </c:numRef>
          </c:xVal>
          <c:yVal>
            <c:numRef>
              <c:f>Sheet1!$B$2:$B$9</c:f>
              <c:numCache>
                <c:formatCode>0.00%</c:formatCode>
                <c:ptCount val="8"/>
                <c:pt idx="0">
                  <c:v>4.0599999999999997E-2</c:v>
                </c:pt>
                <c:pt idx="1">
                  <c:v>3.8900000000000004E-2</c:v>
                </c:pt>
                <c:pt idx="2">
                  <c:v>3.7000000000000005E-2</c:v>
                </c:pt>
                <c:pt idx="3">
                  <c:v>3.6000000000000004E-2</c:v>
                </c:pt>
                <c:pt idx="4">
                  <c:v>3.7100000000000001E-2</c:v>
                </c:pt>
                <c:pt idx="5">
                  <c:v>4.1100000000000005E-2</c:v>
                </c:pt>
                <c:pt idx="6">
                  <c:v>4.6500000000000007E-2</c:v>
                </c:pt>
                <c:pt idx="7">
                  <c:v>4.6699999999999998E-2</c:v>
                </c:pt>
              </c:numCache>
            </c:numRef>
          </c:yVal>
          <c:smooth val="1"/>
          <c:extLst>
            <c:ext xmlns:c16="http://schemas.microsoft.com/office/drawing/2014/chart" uri="{C3380CC4-5D6E-409C-BE32-E72D297353CC}">
              <c16:uniqueId val="{00000000-1828-B345-84FA-6B3BBD9B552A}"/>
            </c:ext>
          </c:extLst>
        </c:ser>
        <c:ser>
          <c:idx val="1"/>
          <c:order val="1"/>
          <c:tx>
            <c:strRef>
              <c:f>Sheet1!$C$1</c:f>
              <c:strCache>
                <c:ptCount val="1"/>
                <c:pt idx="0">
                  <c:v>3 Months Ago</c:v>
                </c:pt>
              </c:strCache>
            </c:strRef>
          </c:tx>
          <c:spPr>
            <a:ln w="19050" cap="rnd">
              <a:solidFill>
                <a:srgbClr val="7030A0"/>
              </a:solidFill>
              <a:round/>
            </a:ln>
            <a:effectLst/>
          </c:spPr>
          <c:marker>
            <c:symbol val="circle"/>
            <c:size val="5"/>
            <c:spPr>
              <a:solidFill>
                <a:schemeClr val="bg1"/>
              </a:solidFill>
              <a:ln w="12700">
                <a:solidFill>
                  <a:srgbClr val="7030A0"/>
                </a:solidFill>
              </a:ln>
              <a:effectLst/>
            </c:spPr>
          </c:marker>
          <c:xVal>
            <c:numRef>
              <c:f>Sheet1!$A$2:$A$9</c:f>
              <c:numCache>
                <c:formatCode>General</c:formatCode>
                <c:ptCount val="8"/>
                <c:pt idx="0">
                  <c:v>0</c:v>
                </c:pt>
                <c:pt idx="1">
                  <c:v>0.25</c:v>
                </c:pt>
                <c:pt idx="2">
                  <c:v>1</c:v>
                </c:pt>
                <c:pt idx="3">
                  <c:v>3</c:v>
                </c:pt>
                <c:pt idx="4">
                  <c:v>5</c:v>
                </c:pt>
                <c:pt idx="5">
                  <c:v>10</c:v>
                </c:pt>
                <c:pt idx="6">
                  <c:v>20</c:v>
                </c:pt>
                <c:pt idx="7">
                  <c:v>30</c:v>
                </c:pt>
              </c:numCache>
            </c:numRef>
          </c:xVal>
          <c:yVal>
            <c:numRef>
              <c:f>Sheet1!$C$2:$C$9</c:f>
              <c:numCache>
                <c:formatCode>0.00%</c:formatCode>
                <c:ptCount val="8"/>
                <c:pt idx="0">
                  <c:v>4.4900000000000002E-2</c:v>
                </c:pt>
                <c:pt idx="1">
                  <c:v>4.41E-2</c:v>
                </c:pt>
                <c:pt idx="2">
                  <c:v>4.0999999999999995E-2</c:v>
                </c:pt>
                <c:pt idx="3">
                  <c:v>3.8900000000000004E-2</c:v>
                </c:pt>
                <c:pt idx="4">
                  <c:v>3.9600000000000003E-2</c:v>
                </c:pt>
                <c:pt idx="5">
                  <c:v>4.3700000000000003E-2</c:v>
                </c:pt>
                <c:pt idx="6">
                  <c:v>4.8899999999999999E-2</c:v>
                </c:pt>
                <c:pt idx="7">
                  <c:v>4.8899999999999999E-2</c:v>
                </c:pt>
              </c:numCache>
            </c:numRef>
          </c:yVal>
          <c:smooth val="1"/>
          <c:extLst>
            <c:ext xmlns:c16="http://schemas.microsoft.com/office/drawing/2014/chart" uri="{C3380CC4-5D6E-409C-BE32-E72D297353CC}">
              <c16:uniqueId val="{00000001-1828-B345-84FA-6B3BBD9B552A}"/>
            </c:ext>
          </c:extLst>
        </c:ser>
        <c:ser>
          <c:idx val="2"/>
          <c:order val="2"/>
          <c:tx>
            <c:strRef>
              <c:f>Sheet1!$D$1</c:f>
              <c:strCache>
                <c:ptCount val="1"/>
                <c:pt idx="0">
                  <c:v>12 Months Ago</c:v>
                </c:pt>
              </c:strCache>
            </c:strRef>
          </c:tx>
          <c:spPr>
            <a:ln w="19050" cap="rnd">
              <a:solidFill>
                <a:srgbClr val="092C71"/>
              </a:solidFill>
              <a:round/>
            </a:ln>
            <a:effectLst/>
          </c:spPr>
          <c:marker>
            <c:symbol val="circle"/>
            <c:size val="5"/>
            <c:spPr>
              <a:solidFill>
                <a:schemeClr val="bg1"/>
              </a:solidFill>
              <a:ln w="12700">
                <a:solidFill>
                  <a:srgbClr val="092C71"/>
                </a:solidFill>
              </a:ln>
              <a:effectLst/>
            </c:spPr>
          </c:marker>
          <c:xVal>
            <c:numRef>
              <c:f>Sheet1!$A$2:$A$9</c:f>
              <c:numCache>
                <c:formatCode>General</c:formatCode>
                <c:ptCount val="8"/>
                <c:pt idx="0">
                  <c:v>0</c:v>
                </c:pt>
                <c:pt idx="1">
                  <c:v>0.25</c:v>
                </c:pt>
                <c:pt idx="2">
                  <c:v>1</c:v>
                </c:pt>
                <c:pt idx="3">
                  <c:v>3</c:v>
                </c:pt>
                <c:pt idx="4">
                  <c:v>5</c:v>
                </c:pt>
                <c:pt idx="5">
                  <c:v>10</c:v>
                </c:pt>
                <c:pt idx="6">
                  <c:v>20</c:v>
                </c:pt>
                <c:pt idx="7">
                  <c:v>30</c:v>
                </c:pt>
              </c:numCache>
            </c:numRef>
          </c:xVal>
          <c:yVal>
            <c:numRef>
              <c:f>Sheet1!$D$2:$D$9</c:f>
              <c:numCache>
                <c:formatCode>0.00%</c:formatCode>
                <c:ptCount val="8"/>
                <c:pt idx="0">
                  <c:v>4.7599999999999996E-2</c:v>
                </c:pt>
                <c:pt idx="1">
                  <c:v>4.6399999999999997E-2</c:v>
                </c:pt>
                <c:pt idx="2">
                  <c:v>4.2699999999999995E-2</c:v>
                </c:pt>
                <c:pt idx="3">
                  <c:v>4.1200000000000001E-2</c:v>
                </c:pt>
                <c:pt idx="4">
                  <c:v>4.1500000000000002E-2</c:v>
                </c:pt>
                <c:pt idx="5">
                  <c:v>4.2800000000000005E-2</c:v>
                </c:pt>
                <c:pt idx="6">
                  <c:v>4.58E-2</c:v>
                </c:pt>
                <c:pt idx="7">
                  <c:v>4.4699999999999997E-2</c:v>
                </c:pt>
              </c:numCache>
            </c:numRef>
          </c:yVal>
          <c:smooth val="1"/>
          <c:extLst>
            <c:ext xmlns:c16="http://schemas.microsoft.com/office/drawing/2014/chart" uri="{C3380CC4-5D6E-409C-BE32-E72D297353CC}">
              <c16:uniqueId val="{00000003-1828-B345-84FA-6B3BBD9B552A}"/>
            </c:ext>
          </c:extLst>
        </c:ser>
        <c:dLbls>
          <c:showLegendKey val="0"/>
          <c:showVal val="0"/>
          <c:showCatName val="0"/>
          <c:showSerName val="0"/>
          <c:showPercent val="0"/>
          <c:showBubbleSize val="0"/>
        </c:dLbls>
        <c:axId val="1640811184"/>
        <c:axId val="1661536368"/>
      </c:scatterChart>
      <c:valAx>
        <c:axId val="1640811184"/>
        <c:scaling>
          <c:orientation val="minMax"/>
          <c:max val="3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rgbClr val="469BBC"/>
                    </a:solidFill>
                    <a:latin typeface="Open Sans" panose="020B0606030504020204" pitchFamily="34" charset="0"/>
                    <a:ea typeface="Open Sans" panose="020B0606030504020204" pitchFamily="34" charset="0"/>
                    <a:cs typeface="Open Sans" panose="020B0606030504020204" pitchFamily="34" charset="0"/>
                  </a:defRPr>
                </a:pPr>
                <a:r>
                  <a:rPr lang="en-US">
                    <a:solidFill>
                      <a:srgbClr val="469BBC"/>
                    </a:solidFill>
                    <a:latin typeface="Open Sans" panose="020B0606030504020204" pitchFamily="34" charset="0"/>
                    <a:ea typeface="Open Sans" panose="020B0606030504020204" pitchFamily="34" charset="0"/>
                    <a:cs typeface="Open Sans" panose="020B0606030504020204" pitchFamily="34" charset="0"/>
                  </a:rPr>
                  <a:t>Year to Maturity</a:t>
                </a:r>
              </a:p>
            </c:rich>
          </c:tx>
          <c:overlay val="0"/>
          <c:spPr>
            <a:noFill/>
            <a:ln>
              <a:noFill/>
            </a:ln>
            <a:effectLst/>
          </c:spPr>
          <c:txPr>
            <a:bodyPr rot="0" spcFirstLastPara="1" vertOverflow="ellipsis" vert="horz" wrap="square" anchor="ctr" anchorCtr="1"/>
            <a:lstStyle/>
            <a:p>
              <a:pPr>
                <a:defRPr sz="1000" b="0" i="0" u="none" strike="noStrike" kern="1200" baseline="0">
                  <a:solidFill>
                    <a:srgbClr val="469BBC"/>
                  </a:solidFill>
                  <a:latin typeface="Open Sans" panose="020B0606030504020204" pitchFamily="34" charset="0"/>
                  <a:ea typeface="Open Sans" panose="020B0606030504020204" pitchFamily="34" charset="0"/>
                  <a:cs typeface="Open Sans" panose="020B0606030504020204" pitchFamily="34"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661536368"/>
        <c:crosses val="autoZero"/>
        <c:crossBetween val="midCat"/>
      </c:valAx>
      <c:valAx>
        <c:axId val="166153636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rgbClr val="469BBC"/>
                    </a:solidFill>
                    <a:latin typeface="Open Sans" panose="020B0606030504020204" pitchFamily="34" charset="0"/>
                    <a:ea typeface="Open Sans" panose="020B0606030504020204" pitchFamily="34" charset="0"/>
                    <a:cs typeface="Open Sans" panose="020B0606030504020204" pitchFamily="34" charset="0"/>
                  </a:rPr>
                  <a:t>Yield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Open Sans" panose="020B0606030504020204" pitchFamily="34" charset="0"/>
                <a:ea typeface="Open Sans" panose="020B0606030504020204" pitchFamily="34" charset="0"/>
                <a:cs typeface="Open Sans" panose="020B0606030504020204" pitchFamily="34" charset="0"/>
              </a:defRPr>
            </a:pPr>
            <a:endParaRPr lang="en-US"/>
          </a:p>
        </c:txPr>
        <c:crossAx val="1640811184"/>
        <c:crosses val="autoZero"/>
        <c:crossBetween val="midCat"/>
        <c:majorUnit val="5.000000000000001E-3"/>
        <c:minorUnit val="2.5000000000000005E-3"/>
      </c:valAx>
      <c:spPr>
        <a:noFill/>
        <a:ln>
          <a:noFill/>
        </a:ln>
        <a:effectLst/>
      </c:spPr>
    </c:plotArea>
    <c:legend>
      <c:legendPos val="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Open Sans" panose="020B0606030504020204" pitchFamily="34" charset="0"/>
              <a:ea typeface="Open Sans" panose="020B0606030504020204" pitchFamily="34" charset="0"/>
              <a:cs typeface="Open Sans" panose="020B0606030504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5f18e9-ab99-4ed8-958b-b2257ca8db6f" xsi:nil="true"/>
    <lcf76f155ced4ddcb4097134ff3c332f xmlns="a1ab68ce-a4a4-4b39-ba45-0ee675a31d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89F3D185A97442978E268DC4508190" ma:contentTypeVersion="16" ma:contentTypeDescription="Create a new document." ma:contentTypeScope="" ma:versionID="9ced31a183006efdde4ab92a309cb2b7">
  <xsd:schema xmlns:xsd="http://www.w3.org/2001/XMLSchema" xmlns:xs="http://www.w3.org/2001/XMLSchema" xmlns:p="http://schemas.microsoft.com/office/2006/metadata/properties" xmlns:ns2="a1ab68ce-a4a4-4b39-ba45-0ee675a31d64" xmlns:ns3="ed5f18e9-ab99-4ed8-958b-b2257ca8db6f" targetNamespace="http://schemas.microsoft.com/office/2006/metadata/properties" ma:root="true" ma:fieldsID="cd253bf3353d1e71c93bd1215b200274" ns2:_="" ns3:_="">
    <xsd:import namespace="a1ab68ce-a4a4-4b39-ba45-0ee675a31d64"/>
    <xsd:import namespace="ed5f18e9-ab99-4ed8-958b-b2257ca8db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b68ce-a4a4-4b39-ba45-0ee675a31d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17f5a0-d3ce-4565-9406-42d6a5c5f2a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5f18e9-ab99-4ed8-958b-b2257ca8db6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caf198-6e13-485e-903e-9a1c194ca8b6}" ma:internalName="TaxCatchAll" ma:showField="CatchAllData" ma:web="ed5f18e9-ab99-4ed8-958b-b2257ca8db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7867F-CD55-4B32-B418-935EBB2D6211}">
  <ds:schemaRefs>
    <ds:schemaRef ds:uri="http://schemas.microsoft.com/office/2006/metadata/properties"/>
    <ds:schemaRef ds:uri="http://schemas.microsoft.com/office/infopath/2007/PartnerControls"/>
    <ds:schemaRef ds:uri="ed5f18e9-ab99-4ed8-958b-b2257ca8db6f"/>
    <ds:schemaRef ds:uri="a1ab68ce-a4a4-4b39-ba45-0ee675a31d64"/>
  </ds:schemaRefs>
</ds:datastoreItem>
</file>

<file path=customXml/itemProps2.xml><?xml version="1.0" encoding="utf-8"?>
<ds:datastoreItem xmlns:ds="http://schemas.openxmlformats.org/officeDocument/2006/customXml" ds:itemID="{C5E2B553-C1CA-447D-8711-F2317323C865}">
  <ds:schemaRefs>
    <ds:schemaRef ds:uri="http://schemas.microsoft.com/sharepoint/v3/contenttype/forms"/>
  </ds:schemaRefs>
</ds:datastoreItem>
</file>

<file path=customXml/itemProps3.xml><?xml version="1.0" encoding="utf-8"?>
<ds:datastoreItem xmlns:ds="http://schemas.openxmlformats.org/officeDocument/2006/customXml" ds:itemID="{8DF84BFE-BF46-4F7C-A0A2-FE4045A5B1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b68ce-a4a4-4b39-ba45-0ee675a31d64"/>
    <ds:schemaRef ds:uri="ed5f18e9-ab99-4ed8-958b-b2257ca8db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929</Words>
  <Characters>4861</Characters>
  <Application>Microsoft Office Word</Application>
  <DocSecurity>0</DocSecurity>
  <Lines>441</Lines>
  <Paragraphs>445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Monfared</dc:creator>
  <cp:keywords/>
  <dc:description/>
  <cp:lastModifiedBy>Catherine Bradley</cp:lastModifiedBy>
  <cp:revision>4</cp:revision>
  <cp:lastPrinted>2025-01-15T21:16:00Z</cp:lastPrinted>
  <dcterms:created xsi:type="dcterms:W3CDTF">2025-11-17T23:51:00Z</dcterms:created>
  <dcterms:modified xsi:type="dcterms:W3CDTF">2025-11-18T23:26:00Z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0x010100C089F3D185A97442978E268DC4508190</vt:lpwstr>
  </property>
</Properties>
</file>